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7"/>
        <w:tblW w:w="9278" w:type="dxa"/>
        <w:tblInd w:w="-83" w:type="dxa"/>
        <w:tblLayout w:type="fixed"/>
        <w:tblCellMar>
          <w:top w:w="0" w:type="dxa"/>
          <w:left w:w="108" w:type="dxa"/>
          <w:bottom w:w="0" w:type="dxa"/>
          <w:right w:w="108" w:type="dxa"/>
        </w:tblCellMar>
      </w:tblPr>
      <w:tblGrid>
        <w:gridCol w:w="7586"/>
        <w:gridCol w:w="1692"/>
      </w:tblGrid>
      <w:tr>
        <w:tblPrEx>
          <w:tblCellMar>
            <w:top w:w="0" w:type="dxa"/>
            <w:left w:w="108" w:type="dxa"/>
            <w:bottom w:w="0" w:type="dxa"/>
            <w:right w:w="108" w:type="dxa"/>
          </w:tblCellMar>
        </w:tblPrEx>
        <w:trPr>
          <w:trHeight w:val="1275" w:hRule="exact"/>
        </w:trPr>
        <w:tc>
          <w:tcPr>
            <w:tcW w:w="7586" w:type="dxa"/>
            <w:tcBorders>
              <w:top w:val="nil"/>
              <w:left w:val="nil"/>
              <w:bottom w:val="nil"/>
              <w:right w:val="nil"/>
            </w:tcBorders>
            <w:vAlign w:val="center"/>
          </w:tcPr>
          <w:p>
            <w:pPr>
              <w:spacing w:line="800" w:lineRule="exact"/>
              <w:jc w:val="distribute"/>
              <w:rPr>
                <w:rFonts w:hint="eastAsia" w:ascii="方正小标宋简体" w:hAnsi="新宋体" w:eastAsia="方正小标宋简体"/>
                <w:b/>
                <w:color w:val="FF0000"/>
                <w:spacing w:val="-16"/>
                <w:w w:val="66"/>
                <w:sz w:val="72"/>
                <w:szCs w:val="72"/>
                <w:lang w:val="en-US" w:eastAsia="zh-CN"/>
              </w:rPr>
            </w:pPr>
            <w:bookmarkStart w:id="0" w:name="_GoBack"/>
            <w:bookmarkEnd w:id="0"/>
            <w:r>
              <w:rPr>
                <w:rFonts w:hint="eastAsia" w:ascii="方正小标宋简体" w:hAnsi="新宋体" w:eastAsia="方正小标宋简体"/>
                <w:b/>
                <w:color w:val="FF0000"/>
                <w:w w:val="66"/>
                <w:sz w:val="72"/>
                <w:szCs w:val="72"/>
              </w:rPr>
              <w:t>天津市滨海新区民政局</w:t>
            </w:r>
            <w:r>
              <w:rPr>
                <w:rFonts w:hint="eastAsia" w:ascii="方正小标宋简体" w:hAnsi="新宋体" w:eastAsia="方正小标宋简体"/>
                <w:b/>
                <w:color w:val="FF0000"/>
                <w:w w:val="66"/>
                <w:sz w:val="72"/>
                <w:szCs w:val="72"/>
                <w:lang w:val="en-US" w:eastAsia="zh-CN"/>
              </w:rPr>
              <w:t xml:space="preserve">  </w:t>
            </w:r>
          </w:p>
        </w:tc>
        <w:tc>
          <w:tcPr>
            <w:tcW w:w="1692" w:type="dxa"/>
            <w:vMerge w:val="restart"/>
            <w:tcBorders>
              <w:top w:val="nil"/>
              <w:left w:val="nil"/>
              <w:bottom w:val="nil"/>
              <w:right w:val="nil"/>
            </w:tcBorders>
            <w:vAlign w:val="center"/>
          </w:tcPr>
          <w:p>
            <w:pPr>
              <w:widowControl/>
              <w:jc w:val="center"/>
              <w:rPr>
                <w:rFonts w:hint="eastAsia" w:ascii="方正小标宋简体" w:eastAsia="方正小标宋简体"/>
                <w:b/>
                <w:color w:val="FF0000"/>
                <w:kern w:val="0"/>
                <w:sz w:val="72"/>
                <w:szCs w:val="72"/>
              </w:rPr>
            </w:pPr>
            <w:r>
              <w:rPr>
                <w:rFonts w:hint="eastAsia" w:ascii="方正小标宋简体" w:eastAsia="方正小标宋简体" w:cs="微软简标宋"/>
                <w:b/>
                <w:color w:val="FF0000"/>
                <w:sz w:val="72"/>
                <w:szCs w:val="72"/>
                <w:lang w:eastAsia="zh-CN"/>
              </w:rPr>
              <w:t>文</w:t>
            </w:r>
            <w:r>
              <w:rPr>
                <w:rFonts w:hint="eastAsia" w:ascii="方正小标宋简体" w:eastAsia="方正小标宋简体" w:cs="微软简标宋"/>
                <w:b/>
                <w:color w:val="FF0000"/>
                <w:sz w:val="72"/>
                <w:szCs w:val="72"/>
              </w:rPr>
              <w:t>件</w:t>
            </w:r>
          </w:p>
        </w:tc>
      </w:tr>
      <w:tr>
        <w:tblPrEx>
          <w:tblCellMar>
            <w:top w:w="0" w:type="dxa"/>
            <w:left w:w="108" w:type="dxa"/>
            <w:bottom w:w="0" w:type="dxa"/>
            <w:right w:w="108" w:type="dxa"/>
          </w:tblCellMar>
        </w:tblPrEx>
        <w:trPr>
          <w:trHeight w:val="1280" w:hRule="exact"/>
        </w:trPr>
        <w:tc>
          <w:tcPr>
            <w:tcW w:w="7586" w:type="dxa"/>
            <w:tcBorders>
              <w:top w:val="nil"/>
              <w:left w:val="nil"/>
              <w:bottom w:val="nil"/>
              <w:right w:val="nil"/>
            </w:tcBorders>
            <w:vAlign w:val="center"/>
          </w:tcPr>
          <w:p>
            <w:pPr>
              <w:spacing w:line="800" w:lineRule="exact"/>
              <w:jc w:val="distribute"/>
              <w:rPr>
                <w:rFonts w:hint="eastAsia" w:ascii="方正小标宋简体" w:hAnsi="新宋体" w:eastAsia="方正小标宋简体"/>
                <w:b/>
                <w:color w:val="FF0000"/>
                <w:w w:val="66"/>
                <w:sz w:val="72"/>
                <w:szCs w:val="72"/>
                <w:lang w:eastAsia="zh-CN"/>
              </w:rPr>
            </w:pPr>
            <w:r>
              <w:rPr>
                <w:rFonts w:hint="eastAsia" w:ascii="方正小标宋简体" w:hAnsi="新宋体" w:eastAsia="方正小标宋简体"/>
                <w:b/>
                <w:color w:val="FF0000"/>
                <w:w w:val="66"/>
                <w:sz w:val="48"/>
                <w:szCs w:val="48"/>
              </w:rPr>
              <w:t>天津市滨海新区</w:t>
            </w:r>
            <w:r>
              <w:rPr>
                <w:rFonts w:hint="eastAsia" w:ascii="方正小标宋简体" w:hAnsi="新宋体" w:eastAsia="方正小标宋简体"/>
                <w:b/>
                <w:color w:val="FF0000"/>
                <w:w w:val="66"/>
                <w:sz w:val="48"/>
                <w:szCs w:val="48"/>
                <w:lang w:eastAsia="zh-CN"/>
              </w:rPr>
              <w:t>防范和处置非法集资领导小组办公室</w:t>
            </w:r>
          </w:p>
        </w:tc>
        <w:tc>
          <w:tcPr>
            <w:tcW w:w="1692" w:type="dxa"/>
            <w:vMerge w:val="continue"/>
            <w:tcBorders>
              <w:top w:val="nil"/>
              <w:left w:val="nil"/>
              <w:bottom w:val="nil"/>
              <w:right w:val="nil"/>
            </w:tcBorders>
            <w:vAlign w:val="center"/>
          </w:tcPr>
          <w:p>
            <w:pPr>
              <w:widowControl/>
              <w:rPr>
                <w:rFonts w:hint="eastAsia" w:ascii="方正小标宋简体" w:eastAsia="方正小标宋简体"/>
                <w:b/>
                <w:color w:val="FF0000"/>
                <w:kern w:val="0"/>
                <w:sz w:val="72"/>
                <w:szCs w:val="72"/>
              </w:rPr>
            </w:pPr>
          </w:p>
        </w:tc>
      </w:tr>
    </w:tbl>
    <w:p>
      <w:pPr>
        <w:spacing w:line="580" w:lineRule="exact"/>
        <w:ind w:firstLine="2560" w:firstLineChars="800"/>
        <w:rPr>
          <w:rFonts w:hint="eastAsia" w:ascii="仿宋_GB2312" w:eastAsia="仿宋_GB2312"/>
          <w:sz w:val="32"/>
          <w:szCs w:val="32"/>
        </w:rPr>
      </w:pPr>
      <w:r>
        <w:rPr>
          <w:rFonts w:hint="eastAsia" w:ascii="仿宋_GB2312" w:eastAsia="仿宋_GB2312"/>
          <w:sz w:val="32"/>
          <w:szCs w:val="32"/>
        </w:rPr>
        <w:t>津滨民发〔202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32</w:t>
      </w:r>
      <w:r>
        <w:rPr>
          <w:rFonts w:hint="eastAsia" w:ascii="仿宋_GB2312" w:eastAsia="仿宋_GB2312"/>
          <w:sz w:val="32"/>
          <w:szCs w:val="32"/>
        </w:rPr>
        <w:t>号</w:t>
      </w:r>
    </w:p>
    <w:p>
      <w:pPr>
        <w:spacing w:line="580" w:lineRule="exact"/>
        <w:ind w:firstLine="2415" w:firstLineChars="1150"/>
        <w:rPr>
          <w:rFonts w:hint="eastAsia" w:ascii="仿宋_GB2312" w:eastAsia="仿宋_GB2312"/>
          <w:sz w:val="32"/>
          <w:szCs w:val="32"/>
        </w:rPr>
      </w:pPr>
      <w:r>
        <w:pict>
          <v:shape id="Picture 3" o:spid="_x0000_s1387" o:spt="75" alt="line1" type="#_x0000_t75" style="position:absolute;left:0pt;margin-left:73.1pt;margin-top:263.45pt;height:14.15pt;width:442.2pt;mso-position-horizontal-relative:page;mso-position-vertical-relative:page;z-index:251660288;mso-width-relative:page;mso-height-relative:page;" filled="f" o:preferrelative="t" stroked="f" coordsize="21600,21600">
            <v:path/>
            <v:fill on="f" focussize="0,0"/>
            <v:stroke on="f"/>
            <v:imagedata r:id="rId7" o:title="line1"/>
            <o:lock v:ext="edit" aspectratio="f"/>
          </v:shape>
        </w:pict>
      </w:r>
    </w:p>
    <w:p>
      <w:pPr>
        <w:spacing w:line="580" w:lineRule="exact"/>
        <w:ind w:firstLine="3680" w:firstLineChars="1150"/>
        <w:rPr>
          <w:rFonts w:hint="eastAsia" w:ascii="仿宋_GB2312" w:eastAsia="仿宋_GB2312"/>
          <w:sz w:val="32"/>
          <w:szCs w:val="32"/>
          <w:lang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eastAsia="zh-CN"/>
        </w:rPr>
      </w:pP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eastAsia="zh-CN"/>
        </w:rPr>
        <w:t>滨海新区民政局</w:t>
      </w: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rPr>
        <w:t xml:space="preserve">   滨海新区处非办         </w:t>
      </w: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rPr>
        <w:t>关于做好养老服务领域防范和处置非法集资</w:t>
      </w: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rPr>
        <w:t xml:space="preserve"> </w:t>
      </w: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rPr>
        <w:t>工作的</w:t>
      </w: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eastAsia="zh-CN"/>
        </w:rPr>
        <w:t>通知</w:t>
      </w:r>
    </w:p>
    <w:p>
      <w:pPr>
        <w:spacing w:line="600" w:lineRule="exact"/>
        <w:jc w:val="center"/>
        <w:rPr>
          <w:rFonts w:ascii="方正小标宋简体" w:hAnsi="方正小标宋简体" w:eastAsia="方正小标宋简体" w:cs="方正小标宋简体"/>
          <w:color w:val="000000" w:themeColor="text1"/>
          <w:sz w:val="44"/>
          <w:szCs w:val="44"/>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jc w:val="both"/>
        <w:textAlignment w:val="auto"/>
        <w:rPr>
          <w:rFonts w:hint="eastAsia" w:ascii="仿宋_GB2312" w:hAnsi="仿宋_GB2312" w:eastAsia="仿宋_GB2312" w:cs="仿宋_GB2312"/>
          <w:i w:val="0"/>
          <w:iCs w:val="0"/>
          <w:caps w:val="0"/>
          <w:color w:val="000000" w:themeColor="text1"/>
          <w:spacing w:val="0"/>
          <w:sz w:val="32"/>
          <w:szCs w:val="32"/>
        </w:rPr>
      </w:pPr>
      <w:r>
        <w:rPr>
          <w:rFonts w:hint="eastAsia" w:ascii="仿宋_GB2312" w:hAnsi="仿宋_GB2312" w:eastAsia="仿宋_GB2312" w:cs="仿宋_GB2312"/>
          <w:i w:val="0"/>
          <w:iCs w:val="0"/>
          <w:caps w:val="0"/>
          <w:color w:val="000000" w:themeColor="text1"/>
          <w:spacing w:val="0"/>
          <w:sz w:val="32"/>
          <w:szCs w:val="32"/>
        </w:rPr>
        <w:t>各</w:t>
      </w:r>
      <w:r>
        <w:rPr>
          <w:rFonts w:hint="eastAsia" w:ascii="仿宋_GB2312" w:hAnsi="仿宋_GB2312" w:eastAsia="仿宋_GB2312" w:cs="仿宋_GB2312"/>
          <w:i w:val="0"/>
          <w:iCs w:val="0"/>
          <w:caps w:val="0"/>
          <w:color w:val="000000" w:themeColor="text1"/>
          <w:spacing w:val="0"/>
          <w:sz w:val="32"/>
          <w:szCs w:val="32"/>
          <w:lang w:eastAsia="zh-CN"/>
        </w:rPr>
        <w:t>养老服务机构</w:t>
      </w:r>
      <w:r>
        <w:rPr>
          <w:rFonts w:hint="eastAsia" w:ascii="仿宋_GB2312" w:hAnsi="仿宋_GB2312" w:eastAsia="仿宋_GB2312" w:cs="仿宋_GB2312"/>
          <w:i w:val="0"/>
          <w:iCs w:val="0"/>
          <w:caps w:val="0"/>
          <w:color w:val="000000" w:themeColor="text1"/>
          <w:spacing w:val="0"/>
          <w:sz w:val="32"/>
          <w:szCs w:val="32"/>
        </w:rPr>
        <w:t>：</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rPr>
      </w:pPr>
      <w:r>
        <w:rPr>
          <w:rFonts w:hint="eastAsia" w:ascii="仿宋_GB2312" w:hAnsi="仿宋_GB2312" w:eastAsia="仿宋_GB2312" w:cs="仿宋_GB2312"/>
          <w:i w:val="0"/>
          <w:iCs w:val="0"/>
          <w:caps w:val="0"/>
          <w:color w:val="000000" w:themeColor="text1"/>
          <w:spacing w:val="0"/>
          <w:sz w:val="32"/>
          <w:szCs w:val="32"/>
        </w:rPr>
        <w:t>为深入贯彻落实</w:t>
      </w:r>
      <w:r>
        <w:rPr>
          <w:rFonts w:hint="eastAsia" w:ascii="仿宋" w:hAnsi="仿宋" w:eastAsia="仿宋"/>
          <w:color w:val="000000" w:themeColor="text1"/>
          <w:sz w:val="32"/>
          <w:szCs w:val="32"/>
        </w:rPr>
        <w:t>《防范和处置非法集资条例》</w:t>
      </w:r>
      <w:r>
        <w:rPr>
          <w:rFonts w:hint="eastAsia" w:ascii="仿宋_GB2312" w:hAnsi="仿宋_GB2312" w:eastAsia="仿宋_GB2312" w:cs="仿宋_GB2312"/>
          <w:i w:val="0"/>
          <w:iCs w:val="0"/>
          <w:caps w:val="0"/>
          <w:color w:val="000000" w:themeColor="text1"/>
          <w:spacing w:val="0"/>
          <w:sz w:val="32"/>
          <w:szCs w:val="32"/>
          <w:lang w:eastAsia="zh-CN"/>
        </w:rPr>
        <w:t>《天津市民政局</w:t>
      </w:r>
      <w:r>
        <w:rPr>
          <w:rFonts w:hint="eastAsia" w:ascii="仿宋_GB2312" w:hAnsi="仿宋_GB2312" w:eastAsia="仿宋_GB2312" w:cs="仿宋_GB2312"/>
          <w:i w:val="0"/>
          <w:iCs w:val="0"/>
          <w:caps w:val="0"/>
          <w:color w:val="000000" w:themeColor="text1"/>
          <w:spacing w:val="0"/>
          <w:sz w:val="32"/>
          <w:szCs w:val="32"/>
          <w:lang w:val="en-US" w:eastAsia="zh-CN"/>
        </w:rPr>
        <w:t xml:space="preserve"> 天津市处非办关于做好养老服务领域防范和处置非法集资工作的意见</w:t>
      </w:r>
      <w:r>
        <w:rPr>
          <w:rFonts w:hint="eastAsia" w:ascii="仿宋_GB2312" w:hAnsi="仿宋_GB2312" w:eastAsia="仿宋_GB2312" w:cs="仿宋_GB2312"/>
          <w:i w:val="0"/>
          <w:iCs w:val="0"/>
          <w:caps w:val="0"/>
          <w:color w:val="000000" w:themeColor="text1"/>
          <w:spacing w:val="0"/>
          <w:sz w:val="32"/>
          <w:szCs w:val="32"/>
          <w:lang w:eastAsia="zh-CN"/>
        </w:rPr>
        <w:t>》</w:t>
      </w:r>
      <w:r>
        <w:rPr>
          <w:rFonts w:hint="eastAsia" w:ascii="仿宋_GB2312" w:hAnsi="仿宋_GB2312" w:eastAsia="仿宋_GB2312" w:cs="仿宋_GB2312"/>
          <w:i w:val="0"/>
          <w:iCs w:val="0"/>
          <w:caps w:val="0"/>
          <w:color w:val="000000" w:themeColor="text1"/>
          <w:spacing w:val="0"/>
          <w:sz w:val="32"/>
          <w:szCs w:val="32"/>
        </w:rPr>
        <w:t>（</w:t>
      </w:r>
      <w:r>
        <w:rPr>
          <w:rFonts w:hint="eastAsia" w:ascii="仿宋_GB2312" w:hAnsi="仿宋_GB2312" w:eastAsia="仿宋_GB2312" w:cs="仿宋_GB2312"/>
          <w:i w:val="0"/>
          <w:iCs w:val="0"/>
          <w:caps w:val="0"/>
          <w:color w:val="000000" w:themeColor="text1"/>
          <w:spacing w:val="0"/>
          <w:sz w:val="32"/>
          <w:szCs w:val="32"/>
          <w:lang w:eastAsia="zh-CN"/>
        </w:rPr>
        <w:t>津民</w:t>
      </w:r>
      <w:r>
        <w:rPr>
          <w:rFonts w:hint="eastAsia" w:ascii="仿宋_GB2312" w:hAnsi="仿宋_GB2312" w:eastAsia="仿宋_GB2312" w:cs="仿宋_GB2312"/>
          <w:i w:val="0"/>
          <w:iCs w:val="0"/>
          <w:caps w:val="0"/>
          <w:color w:val="000000" w:themeColor="text1"/>
          <w:spacing w:val="0"/>
          <w:sz w:val="32"/>
          <w:szCs w:val="32"/>
        </w:rPr>
        <w:t>发〔202</w:t>
      </w:r>
      <w:r>
        <w:rPr>
          <w:rFonts w:hint="eastAsia" w:ascii="仿宋_GB2312" w:hAnsi="仿宋_GB2312" w:eastAsia="仿宋_GB2312" w:cs="仿宋_GB2312"/>
          <w:i w:val="0"/>
          <w:iCs w:val="0"/>
          <w:caps w:val="0"/>
          <w:color w:val="000000" w:themeColor="text1"/>
          <w:spacing w:val="0"/>
          <w:sz w:val="32"/>
          <w:szCs w:val="32"/>
          <w:lang w:val="en-US" w:eastAsia="zh-CN"/>
        </w:rPr>
        <w:t>1</w:t>
      </w:r>
      <w:r>
        <w:rPr>
          <w:rFonts w:hint="eastAsia" w:ascii="仿宋_GB2312" w:hAnsi="仿宋_GB2312" w:eastAsia="仿宋_GB2312" w:cs="仿宋_GB2312"/>
          <w:i w:val="0"/>
          <w:iCs w:val="0"/>
          <w:caps w:val="0"/>
          <w:color w:val="000000" w:themeColor="text1"/>
          <w:spacing w:val="0"/>
          <w:sz w:val="32"/>
          <w:szCs w:val="32"/>
        </w:rPr>
        <w:t>〕</w:t>
      </w:r>
      <w:r>
        <w:rPr>
          <w:rFonts w:hint="eastAsia" w:ascii="仿宋_GB2312" w:hAnsi="仿宋_GB2312" w:eastAsia="仿宋_GB2312" w:cs="仿宋_GB2312"/>
          <w:i w:val="0"/>
          <w:iCs w:val="0"/>
          <w:caps w:val="0"/>
          <w:color w:val="000000" w:themeColor="text1"/>
          <w:spacing w:val="0"/>
          <w:sz w:val="32"/>
          <w:szCs w:val="32"/>
          <w:lang w:val="en-US" w:eastAsia="zh-CN"/>
        </w:rPr>
        <w:t>21</w:t>
      </w:r>
      <w:r>
        <w:rPr>
          <w:rFonts w:hint="eastAsia" w:ascii="仿宋_GB2312" w:hAnsi="仿宋_GB2312" w:eastAsia="仿宋_GB2312" w:cs="仿宋_GB2312"/>
          <w:i w:val="0"/>
          <w:iCs w:val="0"/>
          <w:caps w:val="0"/>
          <w:color w:val="000000" w:themeColor="text1"/>
          <w:spacing w:val="0"/>
          <w:sz w:val="32"/>
          <w:szCs w:val="32"/>
        </w:rPr>
        <w:t>号）</w:t>
      </w:r>
      <w:r>
        <w:rPr>
          <w:rFonts w:hint="eastAsia" w:ascii="仿宋_GB2312" w:hAnsi="仿宋_GB2312" w:eastAsia="仿宋_GB2312" w:cs="仿宋_GB2312"/>
          <w:i w:val="0"/>
          <w:iCs w:val="0"/>
          <w:caps w:val="0"/>
          <w:color w:val="000000" w:themeColor="text1"/>
          <w:spacing w:val="0"/>
          <w:sz w:val="32"/>
          <w:szCs w:val="32"/>
          <w:lang w:eastAsia="zh-CN"/>
        </w:rPr>
        <w:t>精神，</w:t>
      </w:r>
      <w:r>
        <w:rPr>
          <w:rFonts w:hint="eastAsia" w:ascii="仿宋_GB2312" w:hAnsi="仿宋_GB2312" w:eastAsia="仿宋_GB2312" w:cs="仿宋_GB2312"/>
          <w:i w:val="0"/>
          <w:iCs w:val="0"/>
          <w:caps w:val="0"/>
          <w:color w:val="000000" w:themeColor="text1"/>
          <w:spacing w:val="0"/>
          <w:sz w:val="32"/>
          <w:szCs w:val="32"/>
        </w:rPr>
        <w:t>防范化解养老服务领域非法集资风险，保护老年人合法权益，促进养老服务业健康发展，</w:t>
      </w:r>
      <w:r>
        <w:rPr>
          <w:rFonts w:hint="eastAsia" w:ascii="仿宋_GB2312" w:hAnsi="仿宋_GB2312" w:eastAsia="仿宋_GB2312" w:cs="仿宋_GB2312"/>
          <w:i w:val="0"/>
          <w:iCs w:val="0"/>
          <w:caps w:val="0"/>
          <w:color w:val="000000" w:themeColor="text1"/>
          <w:spacing w:val="0"/>
          <w:sz w:val="32"/>
          <w:szCs w:val="32"/>
          <w:lang w:eastAsia="zh-CN"/>
        </w:rPr>
        <w:t>现</w:t>
      </w:r>
      <w:r>
        <w:rPr>
          <w:rFonts w:hint="eastAsia" w:ascii="仿宋_GB2312" w:hAnsi="仿宋_GB2312" w:eastAsia="仿宋_GB2312" w:cs="仿宋_GB2312"/>
          <w:i w:val="0"/>
          <w:iCs w:val="0"/>
          <w:caps w:val="0"/>
          <w:color w:val="000000" w:themeColor="text1"/>
          <w:spacing w:val="0"/>
          <w:sz w:val="32"/>
          <w:szCs w:val="32"/>
        </w:rPr>
        <w:t>就做好养</w:t>
      </w:r>
      <w:r>
        <w:rPr>
          <w:rFonts w:hint="eastAsia" w:ascii="仿宋_GB2312" w:hAnsi="仿宋_GB2312" w:eastAsia="仿宋_GB2312" w:cs="仿宋_GB2312"/>
          <w:i w:val="0"/>
          <w:iCs w:val="0"/>
          <w:caps w:val="0"/>
          <w:color w:val="000000" w:themeColor="text1"/>
          <w:spacing w:val="0"/>
          <w:sz w:val="32"/>
          <w:szCs w:val="32"/>
          <w:lang w:eastAsia="zh-CN"/>
        </w:rPr>
        <w:t>老服务领域防范和处置非法集资工作相关事项通知如下。</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黑体" w:hAnsi="黑体" w:eastAsia="黑体" w:cs="黑体"/>
          <w:i w:val="0"/>
          <w:iCs w:val="0"/>
          <w:caps w:val="0"/>
          <w:color w:val="000000" w:themeColor="text1"/>
          <w:spacing w:val="0"/>
          <w:sz w:val="32"/>
          <w:szCs w:val="32"/>
          <w:lang w:val="en-US" w:eastAsia="zh-CN"/>
        </w:rPr>
      </w:pPr>
      <w:r>
        <w:rPr>
          <w:rFonts w:hint="eastAsia" w:ascii="黑体" w:hAnsi="黑体" w:eastAsia="黑体" w:cs="黑体"/>
          <w:i w:val="0"/>
          <w:iCs w:val="0"/>
          <w:caps w:val="0"/>
          <w:color w:val="000000" w:themeColor="text1"/>
          <w:spacing w:val="0"/>
          <w:sz w:val="32"/>
          <w:szCs w:val="32"/>
          <w:lang w:val="en-US" w:eastAsia="zh-CN"/>
        </w:rPr>
        <w:t>一、重点工作</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2"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eastAsia" w:ascii="楷体_GB2312" w:hAnsi="楷体_GB2312" w:eastAsia="楷体_GB2312" w:cs="楷体_GB2312"/>
          <w:b/>
          <w:bCs/>
          <w:i w:val="0"/>
          <w:iCs w:val="0"/>
          <w:caps w:val="0"/>
          <w:color w:val="000000" w:themeColor="text1"/>
          <w:spacing w:val="0"/>
          <w:sz w:val="32"/>
          <w:szCs w:val="32"/>
          <w:lang w:eastAsia="zh-CN"/>
        </w:rPr>
        <w:t>（</w:t>
      </w:r>
      <w:r>
        <w:rPr>
          <w:rFonts w:hint="eastAsia" w:ascii="楷体_GB2312" w:hAnsi="楷体_GB2312" w:eastAsia="楷体_GB2312" w:cs="楷体_GB2312"/>
          <w:b/>
          <w:bCs/>
          <w:i w:val="0"/>
          <w:iCs w:val="0"/>
          <w:caps w:val="0"/>
          <w:color w:val="000000" w:themeColor="text1"/>
          <w:spacing w:val="0"/>
          <w:sz w:val="32"/>
          <w:szCs w:val="32"/>
          <w:lang w:val="en-US" w:eastAsia="zh-CN"/>
        </w:rPr>
        <w:t>一</w:t>
      </w:r>
      <w:r>
        <w:rPr>
          <w:rFonts w:hint="eastAsia" w:ascii="楷体_GB2312" w:hAnsi="楷体_GB2312" w:eastAsia="楷体_GB2312" w:cs="楷体_GB2312"/>
          <w:b/>
          <w:bCs/>
          <w:i w:val="0"/>
          <w:iCs w:val="0"/>
          <w:caps w:val="0"/>
          <w:color w:val="000000" w:themeColor="text1"/>
          <w:spacing w:val="0"/>
          <w:sz w:val="32"/>
          <w:szCs w:val="32"/>
          <w:lang w:eastAsia="zh-CN"/>
        </w:rPr>
        <w:t>）规范新建养老机构预付费管理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eastAsia" w:ascii="仿宋_GB2312" w:hAnsi="仿宋_GB2312" w:eastAsia="仿宋_GB2312" w:cs="仿宋_GB2312"/>
          <w:i w:val="0"/>
          <w:iCs w:val="0"/>
          <w:caps w:val="0"/>
          <w:color w:val="000000" w:themeColor="text1"/>
          <w:spacing w:val="0"/>
          <w:sz w:val="32"/>
          <w:szCs w:val="32"/>
          <w:lang w:val="en-US" w:eastAsia="zh-CN"/>
        </w:rPr>
        <w:t>1.</w:t>
      </w:r>
      <w:r>
        <w:rPr>
          <w:rFonts w:hint="default" w:ascii="仿宋_GB2312" w:hAnsi="仿宋_GB2312" w:eastAsia="仿宋_GB2312" w:cs="仿宋_GB2312"/>
          <w:i w:val="0"/>
          <w:iCs w:val="0"/>
          <w:caps w:val="0"/>
          <w:color w:val="000000" w:themeColor="text1"/>
          <w:spacing w:val="0"/>
          <w:sz w:val="32"/>
          <w:szCs w:val="32"/>
          <w:lang w:eastAsia="zh-CN"/>
        </w:rPr>
        <w:t>社会力量以出让方式获得土地并利用自建或自有设施举办的养老机构，为弥补设施建设资金不足，可以通过销售预付费性质“会员卡”等形式进行营销，按照包容审慎监管原则，明确限制性条件，采取商业银行第三方存管方式确保资金管理使用安全，预收的服务费不得超过老人在机构养老服务月收费标准的3-5倍。</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eastAsia" w:ascii="仿宋_GB2312" w:hAnsi="仿宋_GB2312" w:eastAsia="仿宋_GB2312" w:cs="仿宋_GB2312"/>
          <w:i w:val="0"/>
          <w:iCs w:val="0"/>
          <w:caps w:val="0"/>
          <w:color w:val="000000" w:themeColor="text1"/>
          <w:spacing w:val="0"/>
          <w:sz w:val="32"/>
          <w:szCs w:val="32"/>
          <w:lang w:val="en-US" w:eastAsia="zh-CN"/>
        </w:rPr>
        <w:t>2.</w:t>
      </w:r>
      <w:r>
        <w:rPr>
          <w:rFonts w:hint="default" w:ascii="仿宋_GB2312" w:hAnsi="仿宋_GB2312" w:eastAsia="仿宋_GB2312" w:cs="仿宋_GB2312"/>
          <w:i w:val="0"/>
          <w:iCs w:val="0"/>
          <w:caps w:val="0"/>
          <w:color w:val="000000" w:themeColor="text1"/>
          <w:spacing w:val="0"/>
          <w:sz w:val="32"/>
          <w:szCs w:val="32"/>
          <w:lang w:eastAsia="zh-CN"/>
        </w:rPr>
        <w:t>符合规定条件的养老机构实行预付费，应当在备案时向</w:t>
      </w:r>
      <w:r>
        <w:rPr>
          <w:rFonts w:hint="eastAsia" w:ascii="仿宋_GB2312" w:hAnsi="仿宋_GB2312" w:eastAsia="仿宋_GB2312" w:cs="仿宋_GB2312"/>
          <w:i w:val="0"/>
          <w:iCs w:val="0"/>
          <w:caps w:val="0"/>
          <w:color w:val="000000" w:themeColor="text1"/>
          <w:spacing w:val="0"/>
          <w:sz w:val="32"/>
          <w:szCs w:val="32"/>
          <w:lang w:eastAsia="zh-CN"/>
        </w:rPr>
        <w:t>区</w:t>
      </w:r>
      <w:r>
        <w:rPr>
          <w:rFonts w:hint="default" w:ascii="仿宋_GB2312" w:hAnsi="仿宋_GB2312" w:eastAsia="仿宋_GB2312" w:cs="仿宋_GB2312"/>
          <w:i w:val="0"/>
          <w:iCs w:val="0"/>
          <w:caps w:val="0"/>
          <w:color w:val="000000" w:themeColor="text1"/>
          <w:spacing w:val="0"/>
          <w:sz w:val="32"/>
          <w:szCs w:val="32"/>
          <w:lang w:eastAsia="zh-CN"/>
        </w:rPr>
        <w:t>民政</w:t>
      </w:r>
      <w:r>
        <w:rPr>
          <w:rFonts w:hint="eastAsia" w:ascii="仿宋_GB2312" w:hAnsi="仿宋_GB2312" w:eastAsia="仿宋_GB2312" w:cs="仿宋_GB2312"/>
          <w:i w:val="0"/>
          <w:iCs w:val="0"/>
          <w:caps w:val="0"/>
          <w:color w:val="000000" w:themeColor="text1"/>
          <w:spacing w:val="0"/>
          <w:sz w:val="32"/>
          <w:szCs w:val="32"/>
          <w:lang w:eastAsia="zh-CN"/>
        </w:rPr>
        <w:t>局</w:t>
      </w:r>
      <w:r>
        <w:rPr>
          <w:rFonts w:hint="default" w:ascii="仿宋_GB2312" w:hAnsi="仿宋_GB2312" w:eastAsia="仿宋_GB2312" w:cs="仿宋_GB2312"/>
          <w:i w:val="0"/>
          <w:iCs w:val="0"/>
          <w:caps w:val="0"/>
          <w:color w:val="000000" w:themeColor="text1"/>
          <w:spacing w:val="0"/>
          <w:sz w:val="32"/>
          <w:szCs w:val="32"/>
          <w:lang w:eastAsia="zh-CN"/>
        </w:rPr>
        <w:t>提供在商业银行设立的存管账户、与开户银行签订的存管账户资金监管协议，并说明拟发行“会员卡”的种类、数量、数额及用途等内容；</w:t>
      </w:r>
      <w:r>
        <w:rPr>
          <w:rFonts w:hint="eastAsia" w:ascii="仿宋_GB2312" w:hAnsi="仿宋_GB2312" w:eastAsia="仿宋_GB2312" w:cs="仿宋_GB2312"/>
          <w:i w:val="0"/>
          <w:iCs w:val="0"/>
          <w:caps w:val="0"/>
          <w:color w:val="000000" w:themeColor="text1"/>
          <w:spacing w:val="0"/>
          <w:sz w:val="32"/>
          <w:szCs w:val="32"/>
          <w:lang w:eastAsia="zh-CN"/>
        </w:rPr>
        <w:t>区民政局</w:t>
      </w:r>
      <w:r>
        <w:rPr>
          <w:rFonts w:hint="default" w:ascii="仿宋_GB2312" w:hAnsi="仿宋_GB2312" w:eastAsia="仿宋_GB2312" w:cs="仿宋_GB2312"/>
          <w:i w:val="0"/>
          <w:iCs w:val="0"/>
          <w:caps w:val="0"/>
          <w:color w:val="000000" w:themeColor="text1"/>
          <w:spacing w:val="0"/>
          <w:sz w:val="32"/>
          <w:szCs w:val="32"/>
          <w:lang w:eastAsia="zh-CN"/>
        </w:rPr>
        <w:t>将备案信息向</w:t>
      </w:r>
      <w:r>
        <w:rPr>
          <w:rFonts w:hint="eastAsia" w:ascii="仿宋_GB2312" w:hAnsi="仿宋_GB2312" w:eastAsia="仿宋_GB2312" w:cs="仿宋_GB2312"/>
          <w:i w:val="0"/>
          <w:iCs w:val="0"/>
          <w:caps w:val="0"/>
          <w:color w:val="000000" w:themeColor="text1"/>
          <w:spacing w:val="0"/>
          <w:sz w:val="32"/>
          <w:szCs w:val="32"/>
          <w:lang w:eastAsia="zh-CN"/>
        </w:rPr>
        <w:t>区</w:t>
      </w:r>
      <w:r>
        <w:rPr>
          <w:rFonts w:hint="default" w:ascii="仿宋_GB2312" w:hAnsi="仿宋_GB2312" w:eastAsia="仿宋_GB2312" w:cs="仿宋_GB2312"/>
          <w:i w:val="0"/>
          <w:iCs w:val="0"/>
          <w:caps w:val="0"/>
          <w:color w:val="000000" w:themeColor="text1"/>
          <w:spacing w:val="0"/>
          <w:sz w:val="32"/>
          <w:szCs w:val="32"/>
          <w:lang w:eastAsia="zh-CN"/>
        </w:rPr>
        <w:t>处非</w:t>
      </w:r>
      <w:r>
        <w:rPr>
          <w:rFonts w:hint="eastAsia" w:ascii="仿宋_GB2312" w:hAnsi="仿宋_GB2312" w:eastAsia="仿宋_GB2312" w:cs="仿宋_GB2312"/>
          <w:i w:val="0"/>
          <w:iCs w:val="0"/>
          <w:caps w:val="0"/>
          <w:color w:val="000000" w:themeColor="text1"/>
          <w:spacing w:val="0"/>
          <w:sz w:val="32"/>
          <w:szCs w:val="32"/>
          <w:lang w:eastAsia="zh-CN"/>
        </w:rPr>
        <w:t>办抄</w:t>
      </w:r>
      <w:r>
        <w:rPr>
          <w:rFonts w:hint="eastAsia" w:ascii="仿宋_GB2312" w:hAnsi="仿宋_GB2312" w:eastAsia="仿宋_GB2312" w:cs="仿宋_GB2312"/>
          <w:i w:val="0"/>
          <w:iCs w:val="0"/>
          <w:caps w:val="0"/>
          <w:color w:val="000000" w:themeColor="text1"/>
          <w:spacing w:val="0"/>
          <w:sz w:val="32"/>
          <w:szCs w:val="32"/>
          <w:highlight w:val="none"/>
          <w:lang w:eastAsia="zh-CN"/>
        </w:rPr>
        <w:t>报</w:t>
      </w:r>
      <w:r>
        <w:rPr>
          <w:rFonts w:hint="default" w:ascii="仿宋_GB2312" w:hAnsi="仿宋_GB2312" w:eastAsia="仿宋_GB2312" w:cs="仿宋_GB2312"/>
          <w:i w:val="0"/>
          <w:iCs w:val="0"/>
          <w:caps w:val="0"/>
          <w:color w:val="000000" w:themeColor="text1"/>
          <w:spacing w:val="0"/>
          <w:sz w:val="32"/>
          <w:szCs w:val="32"/>
          <w:lang w:eastAsia="zh-CN"/>
        </w:rPr>
        <w:t>，并通过门户网站等途径向社会公开备案事项等信息。</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eastAsia" w:ascii="仿宋_GB2312" w:hAnsi="仿宋_GB2312" w:eastAsia="仿宋_GB2312" w:cs="仿宋_GB2312"/>
          <w:i w:val="0"/>
          <w:iCs w:val="0"/>
          <w:caps w:val="0"/>
          <w:color w:val="000000" w:themeColor="text1"/>
          <w:spacing w:val="0"/>
          <w:sz w:val="32"/>
          <w:szCs w:val="32"/>
          <w:lang w:val="en-US" w:eastAsia="zh-CN"/>
        </w:rPr>
        <w:t>3.</w:t>
      </w:r>
      <w:r>
        <w:rPr>
          <w:rFonts w:hint="default" w:ascii="仿宋_GB2312" w:hAnsi="仿宋_GB2312" w:eastAsia="仿宋_GB2312" w:cs="仿宋_GB2312"/>
          <w:i w:val="0"/>
          <w:iCs w:val="0"/>
          <w:caps w:val="0"/>
          <w:color w:val="000000" w:themeColor="text1"/>
          <w:spacing w:val="0"/>
          <w:sz w:val="32"/>
          <w:szCs w:val="32"/>
          <w:lang w:eastAsia="zh-CN"/>
        </w:rPr>
        <w:t>实行预付费的养老机构要与开户商业银行签订存管账户资金监管协议，明确监管范围、资金管理使用、监管账户开立、违约责任、协议终止等事项。</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eastAsia" w:ascii="仿宋_GB2312" w:hAnsi="仿宋_GB2312" w:eastAsia="仿宋_GB2312" w:cs="仿宋_GB2312"/>
          <w:i w:val="0"/>
          <w:iCs w:val="0"/>
          <w:caps w:val="0"/>
          <w:color w:val="000000" w:themeColor="text1"/>
          <w:spacing w:val="0"/>
          <w:sz w:val="32"/>
          <w:szCs w:val="32"/>
          <w:lang w:val="en-US" w:eastAsia="zh-CN"/>
        </w:rPr>
        <w:t>4.</w:t>
      </w:r>
      <w:r>
        <w:rPr>
          <w:rFonts w:hint="default" w:ascii="仿宋_GB2312" w:hAnsi="仿宋_GB2312" w:eastAsia="仿宋_GB2312" w:cs="仿宋_GB2312"/>
          <w:i w:val="0"/>
          <w:iCs w:val="0"/>
          <w:caps w:val="0"/>
          <w:color w:val="000000" w:themeColor="text1"/>
          <w:spacing w:val="0"/>
          <w:sz w:val="32"/>
          <w:szCs w:val="32"/>
          <w:lang w:eastAsia="zh-CN"/>
        </w:rPr>
        <w:t>养老机构将收取的预付费全部缴入存管账户，不得转入其他账户或第三方支付平台，仅限用于本机构设施建设资金不足，不得用于其他投资，不得用于实行连锁化、集团化运营的其他关联养老机构。</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5.</w:t>
      </w:r>
      <w:r>
        <w:rPr>
          <w:rFonts w:hint="default" w:ascii="仿宋_GB2312" w:hAnsi="仿宋_GB2312" w:eastAsia="仿宋_GB2312" w:cs="仿宋_GB2312"/>
          <w:i w:val="0"/>
          <w:iCs w:val="0"/>
          <w:caps w:val="0"/>
          <w:color w:val="000000" w:themeColor="text1"/>
          <w:spacing w:val="0"/>
          <w:sz w:val="32"/>
          <w:szCs w:val="32"/>
          <w:lang w:eastAsia="zh-CN"/>
        </w:rPr>
        <w:t>实行预付费的养老机构</w:t>
      </w:r>
      <w:r>
        <w:rPr>
          <w:rFonts w:hint="eastAsia" w:ascii="仿宋_GB2312" w:hAnsi="仿宋_GB2312" w:eastAsia="仿宋_GB2312" w:cs="仿宋_GB2312"/>
          <w:i w:val="0"/>
          <w:iCs w:val="0"/>
          <w:caps w:val="0"/>
          <w:color w:val="000000" w:themeColor="text1"/>
          <w:spacing w:val="0"/>
          <w:sz w:val="32"/>
          <w:szCs w:val="32"/>
          <w:lang w:val="en-US" w:eastAsia="zh-CN"/>
        </w:rPr>
        <w:t>在使用预付费资金前要向区民政局申请，说明使用用途、数额等。区民政局批准后，</w:t>
      </w:r>
      <w:r>
        <w:rPr>
          <w:rFonts w:hint="default" w:ascii="仿宋_GB2312" w:hAnsi="仿宋_GB2312" w:eastAsia="仿宋_GB2312" w:cs="仿宋_GB2312"/>
          <w:i w:val="0"/>
          <w:iCs w:val="0"/>
          <w:caps w:val="0"/>
          <w:color w:val="000000" w:themeColor="text1"/>
          <w:spacing w:val="0"/>
          <w:sz w:val="32"/>
          <w:szCs w:val="32"/>
          <w:lang w:eastAsia="zh-CN"/>
        </w:rPr>
        <w:t>养老机构</w:t>
      </w:r>
      <w:r>
        <w:rPr>
          <w:rFonts w:hint="eastAsia" w:ascii="仿宋_GB2312" w:hAnsi="仿宋_GB2312" w:eastAsia="仿宋_GB2312" w:cs="仿宋_GB2312"/>
          <w:i w:val="0"/>
          <w:iCs w:val="0"/>
          <w:caps w:val="0"/>
          <w:color w:val="000000" w:themeColor="text1"/>
          <w:spacing w:val="0"/>
          <w:sz w:val="32"/>
          <w:szCs w:val="32"/>
          <w:lang w:val="en-US" w:eastAsia="zh-CN"/>
        </w:rPr>
        <w:t>方可使用。</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2" w:firstLineChars="200"/>
        <w:jc w:val="both"/>
        <w:textAlignment w:val="auto"/>
        <w:rPr>
          <w:rFonts w:hint="eastAsia" w:ascii="楷体_GB2312" w:hAnsi="楷体_GB2312" w:eastAsia="楷体_GB2312" w:cs="楷体_GB2312"/>
          <w:b/>
          <w:bCs/>
          <w:i w:val="0"/>
          <w:iCs w:val="0"/>
          <w:caps w:val="0"/>
          <w:color w:val="000000" w:themeColor="text1"/>
          <w:spacing w:val="0"/>
          <w:sz w:val="32"/>
          <w:szCs w:val="32"/>
          <w:lang w:eastAsia="zh-CN"/>
        </w:rPr>
      </w:pPr>
      <w:r>
        <w:rPr>
          <w:rFonts w:hint="eastAsia" w:ascii="楷体_GB2312" w:hAnsi="楷体_GB2312" w:eastAsia="楷体_GB2312" w:cs="楷体_GB2312"/>
          <w:b/>
          <w:bCs/>
          <w:i w:val="0"/>
          <w:iCs w:val="0"/>
          <w:caps w:val="0"/>
          <w:color w:val="000000" w:themeColor="text1"/>
          <w:spacing w:val="0"/>
          <w:sz w:val="32"/>
          <w:szCs w:val="32"/>
          <w:lang w:eastAsia="zh-CN"/>
        </w:rPr>
        <w:t>（</w:t>
      </w:r>
      <w:r>
        <w:rPr>
          <w:rFonts w:hint="eastAsia" w:ascii="楷体_GB2312" w:hAnsi="楷体_GB2312" w:eastAsia="楷体_GB2312" w:cs="楷体_GB2312"/>
          <w:b/>
          <w:bCs/>
          <w:i w:val="0"/>
          <w:iCs w:val="0"/>
          <w:caps w:val="0"/>
          <w:color w:val="000000" w:themeColor="text1"/>
          <w:spacing w:val="0"/>
          <w:sz w:val="32"/>
          <w:szCs w:val="32"/>
          <w:lang w:val="en-US" w:eastAsia="zh-CN"/>
        </w:rPr>
        <w:t>二</w:t>
      </w:r>
      <w:r>
        <w:rPr>
          <w:rFonts w:hint="eastAsia" w:ascii="楷体_GB2312" w:hAnsi="楷体_GB2312" w:eastAsia="楷体_GB2312" w:cs="楷体_GB2312"/>
          <w:b/>
          <w:bCs/>
          <w:i w:val="0"/>
          <w:iCs w:val="0"/>
          <w:caps w:val="0"/>
          <w:color w:val="000000" w:themeColor="text1"/>
          <w:spacing w:val="0"/>
          <w:sz w:val="32"/>
          <w:szCs w:val="32"/>
          <w:lang w:eastAsia="zh-CN"/>
        </w:rPr>
        <w:t>）规范已收取预付费养老机构管理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default" w:ascii="仿宋_GB2312" w:hAnsi="仿宋_GB2312" w:eastAsia="仿宋_GB2312" w:cs="仿宋_GB2312"/>
          <w:i w:val="0"/>
          <w:iCs w:val="0"/>
          <w:caps w:val="0"/>
          <w:color w:val="000000" w:themeColor="text1"/>
          <w:spacing w:val="0"/>
          <w:sz w:val="32"/>
          <w:szCs w:val="32"/>
          <w:lang w:eastAsia="zh-CN"/>
        </w:rPr>
        <w:t>已收取预付费的养老机构，应当主动向</w:t>
      </w:r>
      <w:r>
        <w:rPr>
          <w:rFonts w:hint="eastAsia" w:ascii="仿宋_GB2312" w:hAnsi="仿宋_GB2312" w:eastAsia="仿宋_GB2312" w:cs="仿宋_GB2312"/>
          <w:i w:val="0"/>
          <w:iCs w:val="0"/>
          <w:caps w:val="0"/>
          <w:color w:val="000000" w:themeColor="text1"/>
          <w:spacing w:val="0"/>
          <w:sz w:val="32"/>
          <w:szCs w:val="32"/>
          <w:lang w:eastAsia="zh-CN"/>
        </w:rPr>
        <w:t>区民政局</w:t>
      </w:r>
      <w:r>
        <w:rPr>
          <w:rFonts w:hint="default" w:ascii="仿宋_GB2312" w:hAnsi="仿宋_GB2312" w:eastAsia="仿宋_GB2312" w:cs="仿宋_GB2312"/>
          <w:i w:val="0"/>
          <w:iCs w:val="0"/>
          <w:caps w:val="0"/>
          <w:color w:val="000000" w:themeColor="text1"/>
          <w:spacing w:val="0"/>
          <w:sz w:val="32"/>
          <w:szCs w:val="32"/>
          <w:lang w:eastAsia="zh-CN"/>
        </w:rPr>
        <w:t>报告，符合收取条件的，应在30日内按规定进行备案并设立存管账户，并将所收取预付费全部转入存管账户；不符合收取条件的，应制定退款计划并在有关部门监督下严格履行。</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2" w:firstLineChars="200"/>
        <w:jc w:val="both"/>
        <w:textAlignment w:val="auto"/>
        <w:rPr>
          <w:rFonts w:hint="eastAsia" w:ascii="楷体_GB2312" w:hAnsi="楷体_GB2312" w:eastAsia="楷体_GB2312" w:cs="楷体_GB2312"/>
          <w:b/>
          <w:bCs/>
          <w:i w:val="0"/>
          <w:iCs w:val="0"/>
          <w:caps w:val="0"/>
          <w:color w:val="000000" w:themeColor="text1"/>
          <w:spacing w:val="0"/>
          <w:sz w:val="32"/>
          <w:szCs w:val="32"/>
          <w:lang w:eastAsia="zh-CN"/>
        </w:rPr>
      </w:pPr>
      <w:r>
        <w:rPr>
          <w:rFonts w:hint="eastAsia" w:ascii="楷体_GB2312" w:hAnsi="楷体_GB2312" w:eastAsia="楷体_GB2312" w:cs="楷体_GB2312"/>
          <w:b/>
          <w:bCs/>
          <w:i w:val="0"/>
          <w:iCs w:val="0"/>
          <w:caps w:val="0"/>
          <w:color w:val="000000" w:themeColor="text1"/>
          <w:spacing w:val="0"/>
          <w:sz w:val="32"/>
          <w:szCs w:val="32"/>
          <w:lang w:eastAsia="zh-CN"/>
        </w:rPr>
        <w:t>（</w:t>
      </w:r>
      <w:r>
        <w:rPr>
          <w:rFonts w:hint="eastAsia" w:ascii="楷体_GB2312" w:hAnsi="楷体_GB2312" w:eastAsia="楷体_GB2312" w:cs="楷体_GB2312"/>
          <w:b/>
          <w:bCs/>
          <w:i w:val="0"/>
          <w:iCs w:val="0"/>
          <w:caps w:val="0"/>
          <w:color w:val="000000" w:themeColor="text1"/>
          <w:spacing w:val="0"/>
          <w:sz w:val="32"/>
          <w:szCs w:val="32"/>
          <w:lang w:val="en-US" w:eastAsia="zh-CN"/>
        </w:rPr>
        <w:t>三</w:t>
      </w:r>
      <w:r>
        <w:rPr>
          <w:rFonts w:hint="eastAsia" w:ascii="楷体_GB2312" w:hAnsi="楷体_GB2312" w:eastAsia="楷体_GB2312" w:cs="楷体_GB2312"/>
          <w:b/>
          <w:bCs/>
          <w:i w:val="0"/>
          <w:iCs w:val="0"/>
          <w:caps w:val="0"/>
          <w:color w:val="000000" w:themeColor="text1"/>
          <w:spacing w:val="0"/>
          <w:sz w:val="32"/>
          <w:szCs w:val="32"/>
          <w:lang w:eastAsia="zh-CN"/>
        </w:rPr>
        <w:t>）规范其他服务费管理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default" w:ascii="仿宋_GB2312" w:hAnsi="仿宋_GB2312" w:eastAsia="仿宋_GB2312" w:cs="仿宋_GB2312"/>
          <w:i w:val="0"/>
          <w:iCs w:val="0"/>
          <w:caps w:val="0"/>
          <w:color w:val="000000" w:themeColor="text1"/>
          <w:spacing w:val="0"/>
          <w:sz w:val="32"/>
          <w:szCs w:val="32"/>
          <w:lang w:eastAsia="zh-CN"/>
        </w:rPr>
        <w:t>养老机构床位费、护理费、伙食费等服务费原则上按月收取</w:t>
      </w:r>
      <w:r>
        <w:rPr>
          <w:rFonts w:hint="eastAsia" w:ascii="仿宋_GB2312" w:hAnsi="仿宋_GB2312" w:eastAsia="仿宋_GB2312" w:cs="仿宋_GB2312"/>
          <w:i w:val="0"/>
          <w:iCs w:val="0"/>
          <w:caps w:val="0"/>
          <w:color w:val="000000" w:themeColor="text1"/>
          <w:spacing w:val="0"/>
          <w:sz w:val="32"/>
          <w:szCs w:val="32"/>
          <w:lang w:eastAsia="zh-CN"/>
        </w:rPr>
        <w:t>；</w:t>
      </w:r>
      <w:r>
        <w:rPr>
          <w:rFonts w:hint="default" w:ascii="仿宋_GB2312" w:hAnsi="仿宋_GB2312" w:eastAsia="仿宋_GB2312" w:cs="仿宋_GB2312"/>
          <w:i w:val="0"/>
          <w:iCs w:val="0"/>
          <w:caps w:val="0"/>
          <w:color w:val="000000" w:themeColor="text1"/>
          <w:spacing w:val="0"/>
          <w:sz w:val="32"/>
          <w:szCs w:val="32"/>
          <w:lang w:eastAsia="zh-CN"/>
        </w:rPr>
        <w:t>收取医疗备用金等应急</w:t>
      </w:r>
      <w:r>
        <w:rPr>
          <w:rFonts w:hint="eastAsia" w:ascii="仿宋_GB2312" w:hAnsi="仿宋_GB2312" w:eastAsia="仿宋_GB2312" w:cs="仿宋_GB2312"/>
          <w:i w:val="0"/>
          <w:iCs w:val="0"/>
          <w:caps w:val="0"/>
          <w:color w:val="000000" w:themeColor="text1"/>
          <w:spacing w:val="0"/>
          <w:sz w:val="32"/>
          <w:szCs w:val="32"/>
          <w:lang w:eastAsia="zh-CN"/>
        </w:rPr>
        <w:t>保障</w:t>
      </w:r>
      <w:r>
        <w:rPr>
          <w:rFonts w:hint="default" w:ascii="仿宋_GB2312" w:hAnsi="仿宋_GB2312" w:eastAsia="仿宋_GB2312" w:cs="仿宋_GB2312"/>
          <w:i w:val="0"/>
          <w:iCs w:val="0"/>
          <w:caps w:val="0"/>
          <w:color w:val="000000" w:themeColor="text1"/>
          <w:spacing w:val="0"/>
          <w:sz w:val="32"/>
          <w:szCs w:val="32"/>
          <w:lang w:eastAsia="zh-CN"/>
        </w:rPr>
        <w:t>费用应在与接受服务的老年人或者其代理人签订服务协议中进行明确，不得超过老人在机构养老服务月收费标准的3-5倍。</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2" w:firstLineChars="200"/>
        <w:jc w:val="both"/>
        <w:textAlignment w:val="auto"/>
        <w:rPr>
          <w:rFonts w:hint="default" w:ascii="楷体_GB2312" w:hAnsi="楷体_GB2312" w:eastAsia="楷体_GB2312" w:cs="楷体_GB2312"/>
          <w:b/>
          <w:bCs/>
          <w:i w:val="0"/>
          <w:iCs w:val="0"/>
          <w:caps w:val="0"/>
          <w:color w:val="000000" w:themeColor="text1"/>
          <w:spacing w:val="0"/>
          <w:sz w:val="32"/>
          <w:szCs w:val="32"/>
          <w:lang w:eastAsia="zh-CN"/>
        </w:rPr>
      </w:pPr>
      <w:r>
        <w:rPr>
          <w:rFonts w:hint="eastAsia" w:ascii="楷体_GB2312" w:hAnsi="楷体_GB2312" w:eastAsia="楷体_GB2312" w:cs="楷体_GB2312"/>
          <w:b/>
          <w:bCs/>
          <w:i w:val="0"/>
          <w:iCs w:val="0"/>
          <w:caps w:val="0"/>
          <w:color w:val="000000" w:themeColor="text1"/>
          <w:spacing w:val="0"/>
          <w:sz w:val="32"/>
          <w:szCs w:val="32"/>
          <w:lang w:eastAsia="zh-CN"/>
        </w:rPr>
        <w:t>（</w:t>
      </w:r>
      <w:r>
        <w:rPr>
          <w:rFonts w:hint="eastAsia" w:ascii="楷体_GB2312" w:hAnsi="楷体_GB2312" w:eastAsia="楷体_GB2312" w:cs="楷体_GB2312"/>
          <w:b/>
          <w:bCs/>
          <w:i w:val="0"/>
          <w:iCs w:val="0"/>
          <w:caps w:val="0"/>
          <w:color w:val="000000" w:themeColor="text1"/>
          <w:spacing w:val="0"/>
          <w:sz w:val="32"/>
          <w:szCs w:val="32"/>
          <w:lang w:val="en-US" w:eastAsia="zh-CN"/>
        </w:rPr>
        <w:t>四</w:t>
      </w:r>
      <w:r>
        <w:rPr>
          <w:rFonts w:hint="eastAsia" w:ascii="楷体_GB2312" w:hAnsi="楷体_GB2312" w:eastAsia="楷体_GB2312" w:cs="楷体_GB2312"/>
          <w:b/>
          <w:bCs/>
          <w:i w:val="0"/>
          <w:iCs w:val="0"/>
          <w:caps w:val="0"/>
          <w:color w:val="000000" w:themeColor="text1"/>
          <w:spacing w:val="0"/>
          <w:sz w:val="32"/>
          <w:szCs w:val="32"/>
          <w:lang w:eastAsia="zh-CN"/>
        </w:rPr>
        <w:t>）规范养老机构费用公示管理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eastAsia="zh-CN"/>
        </w:rPr>
      </w:pPr>
      <w:r>
        <w:rPr>
          <w:rFonts w:hint="default" w:ascii="仿宋_GB2312" w:hAnsi="仿宋_GB2312" w:eastAsia="仿宋_GB2312" w:cs="仿宋_GB2312"/>
          <w:i w:val="0"/>
          <w:iCs w:val="0"/>
          <w:caps w:val="0"/>
          <w:color w:val="000000" w:themeColor="text1"/>
          <w:spacing w:val="0"/>
          <w:sz w:val="32"/>
          <w:szCs w:val="32"/>
          <w:lang w:eastAsia="zh-CN"/>
        </w:rPr>
        <w:t>养老机构应当在接待大厅等醒目位置公示床位费、护理费、伙食费、预付费、医疗备用金等</w:t>
      </w:r>
      <w:r>
        <w:rPr>
          <w:rFonts w:hint="eastAsia" w:ascii="仿宋_GB2312" w:hAnsi="仿宋_GB2312" w:eastAsia="仿宋_GB2312" w:cs="仿宋_GB2312"/>
          <w:i w:val="0"/>
          <w:iCs w:val="0"/>
          <w:caps w:val="0"/>
          <w:color w:val="000000" w:themeColor="text1"/>
          <w:spacing w:val="0"/>
          <w:sz w:val="32"/>
          <w:szCs w:val="32"/>
          <w:lang w:eastAsia="zh-CN"/>
        </w:rPr>
        <w:t>各类服务项目</w:t>
      </w:r>
      <w:r>
        <w:rPr>
          <w:rFonts w:hint="default" w:ascii="仿宋_GB2312" w:hAnsi="仿宋_GB2312" w:eastAsia="仿宋_GB2312" w:cs="仿宋_GB2312"/>
          <w:i w:val="0"/>
          <w:iCs w:val="0"/>
          <w:caps w:val="0"/>
          <w:color w:val="000000" w:themeColor="text1"/>
          <w:spacing w:val="0"/>
          <w:sz w:val="32"/>
          <w:szCs w:val="32"/>
          <w:lang w:eastAsia="zh-CN"/>
        </w:rPr>
        <w:t>收费标准、收费依据、服务内容和存管账户等信息，接受有关部门和老年人及家属监督，不得在公示项目、标准或服务协议外收取</w:t>
      </w:r>
      <w:r>
        <w:rPr>
          <w:rFonts w:hint="eastAsia" w:ascii="仿宋_GB2312" w:hAnsi="仿宋_GB2312" w:eastAsia="仿宋_GB2312" w:cs="仿宋_GB2312"/>
          <w:i w:val="0"/>
          <w:iCs w:val="0"/>
          <w:caps w:val="0"/>
          <w:color w:val="000000" w:themeColor="text1"/>
          <w:spacing w:val="0"/>
          <w:sz w:val="32"/>
          <w:szCs w:val="32"/>
          <w:lang w:eastAsia="zh-CN"/>
        </w:rPr>
        <w:t>其他</w:t>
      </w:r>
      <w:r>
        <w:rPr>
          <w:rFonts w:hint="default" w:ascii="仿宋_GB2312" w:hAnsi="仿宋_GB2312" w:eastAsia="仿宋_GB2312" w:cs="仿宋_GB2312"/>
          <w:i w:val="0"/>
          <w:iCs w:val="0"/>
          <w:caps w:val="0"/>
          <w:color w:val="000000" w:themeColor="text1"/>
          <w:spacing w:val="0"/>
          <w:sz w:val="32"/>
          <w:szCs w:val="32"/>
          <w:lang w:eastAsia="zh-CN"/>
        </w:rPr>
        <w:t>费用。</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老年日间照料中心参照执行。</w:t>
      </w:r>
    </w:p>
    <w:p>
      <w:pPr>
        <w:pStyle w:val="1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黑体" w:hAnsi="黑体" w:eastAsia="黑体" w:cs="黑体"/>
          <w:i w:val="0"/>
          <w:iCs w:val="0"/>
          <w:caps w:val="0"/>
          <w:color w:val="000000" w:themeColor="text1"/>
          <w:spacing w:val="0"/>
          <w:sz w:val="32"/>
          <w:szCs w:val="32"/>
          <w:lang w:val="en-US" w:eastAsia="zh-CN"/>
        </w:rPr>
      </w:pPr>
      <w:r>
        <w:rPr>
          <w:rFonts w:hint="eastAsia" w:ascii="黑体" w:hAnsi="黑体" w:eastAsia="黑体" w:cs="黑体"/>
          <w:i w:val="0"/>
          <w:iCs w:val="0"/>
          <w:caps w:val="0"/>
          <w:color w:val="000000" w:themeColor="text1"/>
          <w:spacing w:val="0"/>
          <w:sz w:val="32"/>
          <w:szCs w:val="32"/>
          <w:lang w:val="en-US" w:eastAsia="zh-CN"/>
        </w:rPr>
        <w:t>二、工作安排</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2" w:firstLineChars="200"/>
        <w:jc w:val="both"/>
        <w:textAlignment w:val="auto"/>
        <w:rPr>
          <w:rFonts w:hint="eastAsia" w:ascii="仿宋" w:hAnsi="仿宋" w:eastAsia="仿宋"/>
          <w:color w:val="000000" w:themeColor="text1"/>
          <w:sz w:val="32"/>
          <w:szCs w:val="32"/>
          <w:lang w:val="en-US" w:eastAsia="zh-CN"/>
        </w:rPr>
      </w:pPr>
      <w:r>
        <w:rPr>
          <w:rFonts w:hint="eastAsia" w:ascii="楷体_GB2312" w:hAnsi="楷体_GB2312" w:eastAsia="楷体_GB2312" w:cs="楷体_GB2312"/>
          <w:b/>
          <w:bCs/>
          <w:i w:val="0"/>
          <w:iCs w:val="0"/>
          <w:caps w:val="0"/>
          <w:color w:val="000000" w:themeColor="text1"/>
          <w:spacing w:val="0"/>
          <w:kern w:val="0"/>
          <w:sz w:val="32"/>
          <w:szCs w:val="32"/>
          <w:lang w:val="en-US" w:eastAsia="zh-CN" w:bidi="ar"/>
        </w:rPr>
        <w:t>（一）自查</w:t>
      </w:r>
      <w:r>
        <w:rPr>
          <w:rFonts w:hint="eastAsia" w:ascii="楷体_GB2312" w:hAnsi="楷体_GB2312" w:eastAsia="楷体_GB2312" w:cs="楷体_GB2312"/>
          <w:b/>
          <w:bCs/>
          <w:i w:val="0"/>
          <w:iCs w:val="0"/>
          <w:caps w:val="0"/>
          <w:color w:val="000000" w:themeColor="text1"/>
          <w:spacing w:val="0"/>
          <w:sz w:val="32"/>
          <w:szCs w:val="32"/>
          <w:lang w:val="en-US" w:eastAsia="zh-CN"/>
        </w:rPr>
        <w:t>阶段</w:t>
      </w:r>
      <w:r>
        <w:rPr>
          <w:rFonts w:hint="eastAsia" w:ascii="楷体_GB2312" w:hAnsi="楷体_GB2312" w:eastAsia="楷体_GB2312" w:cs="楷体_GB2312"/>
          <w:b/>
          <w:bCs/>
          <w:i w:val="0"/>
          <w:iCs w:val="0"/>
          <w:caps w:val="0"/>
          <w:color w:val="000000" w:themeColor="text1"/>
          <w:spacing w:val="0"/>
          <w:kern w:val="0"/>
          <w:sz w:val="32"/>
          <w:szCs w:val="32"/>
          <w:lang w:val="en-US" w:eastAsia="zh-CN" w:bidi="ar"/>
        </w:rPr>
        <w:t>（即日起至12月26日）。</w:t>
      </w:r>
      <w:r>
        <w:rPr>
          <w:rFonts w:hint="eastAsia" w:ascii="仿宋" w:hAnsi="仿宋" w:eastAsia="仿宋"/>
          <w:color w:val="000000" w:themeColor="text1"/>
          <w:sz w:val="32"/>
          <w:szCs w:val="32"/>
          <w:lang w:val="en-US" w:eastAsia="zh-CN"/>
        </w:rPr>
        <w:t>各养老服务机构主要负责人要对照本机构的收费方式和标准等，严格开展自查工作。对不符合收取预付费管理要求的养老服务机构要立即整改，制定整改方案、明确整改期限、制作清退费用清单，并形成工作报告连同佐证材料上报区民政局；对符合收取预付费管理要求的养老服务机构要及时准备相应材料报区民政局备案后继续执行；对不涉及收取预付费管理要求的养老服务机构要明确本机构的收费方式和标准，予以公示，填写《养老服务收费情况调查表》上报区民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2" w:firstLineChars="200"/>
        <w:textAlignment w:val="auto"/>
        <w:rPr>
          <w:rFonts w:hint="eastAsia" w:ascii="仿宋_GB2312" w:hAnsi="仿宋_GB2312" w:eastAsia="仿宋_GB2312" w:cs="仿宋_GB2312"/>
          <w:i w:val="0"/>
          <w:iCs w:val="0"/>
          <w:caps w:val="0"/>
          <w:color w:val="000000" w:themeColor="text1"/>
          <w:spacing w:val="0"/>
          <w:sz w:val="32"/>
          <w:szCs w:val="32"/>
          <w:lang w:eastAsia="zh-CN"/>
        </w:rPr>
      </w:pPr>
      <w:r>
        <w:rPr>
          <w:rFonts w:hint="eastAsia" w:ascii="楷体_GB2312" w:hAnsi="楷体_GB2312" w:eastAsia="楷体_GB2312" w:cs="楷体_GB2312"/>
          <w:b/>
          <w:bCs/>
          <w:i w:val="0"/>
          <w:iCs w:val="0"/>
          <w:caps w:val="0"/>
          <w:color w:val="000000" w:themeColor="text1"/>
          <w:spacing w:val="0"/>
          <w:kern w:val="0"/>
          <w:sz w:val="32"/>
          <w:szCs w:val="32"/>
          <w:lang w:val="en-US" w:eastAsia="zh-CN" w:bidi="ar"/>
        </w:rPr>
        <w:t>（二）检查阶段（12月27日至2022年12月11日）。</w:t>
      </w:r>
      <w:r>
        <w:rPr>
          <w:rFonts w:hint="eastAsia" w:ascii="仿宋" w:hAnsi="仿宋" w:eastAsia="仿宋"/>
          <w:color w:val="000000" w:themeColor="text1"/>
          <w:sz w:val="32"/>
          <w:szCs w:val="32"/>
          <w:lang w:val="en-US" w:eastAsia="zh-CN"/>
        </w:rPr>
        <w:t>区民政局（社会福利和养老服务指导中心）对全区养老服务机构开展抽查检查，重点对各机构宣传和</w:t>
      </w:r>
      <w:r>
        <w:rPr>
          <w:rFonts w:hint="eastAsia" w:ascii="仿宋_GB2312" w:hAnsi="仿宋_GB2312" w:eastAsia="仿宋_GB2312" w:cs="仿宋_GB2312"/>
          <w:i w:val="0"/>
          <w:iCs w:val="0"/>
          <w:caps w:val="0"/>
          <w:color w:val="000000" w:themeColor="text1"/>
          <w:spacing w:val="0"/>
          <w:sz w:val="32"/>
          <w:szCs w:val="32"/>
          <w:lang w:val="en-US" w:eastAsia="zh-CN"/>
        </w:rPr>
        <w:t>防范非法集资工作</w:t>
      </w:r>
      <w:r>
        <w:rPr>
          <w:rFonts w:hint="eastAsia" w:ascii="仿宋" w:hAnsi="仿宋" w:eastAsia="仿宋"/>
          <w:color w:val="000000" w:themeColor="text1"/>
          <w:sz w:val="32"/>
          <w:szCs w:val="32"/>
          <w:lang w:val="en-US" w:eastAsia="zh-CN"/>
        </w:rPr>
        <w:t>落实情况、自查整改情况、备案情况等开展检查，发现问题责令限期整改，并报区处非办</w:t>
      </w:r>
      <w:r>
        <w:rPr>
          <w:rFonts w:hint="eastAsia" w:ascii="仿宋_GB2312" w:hAnsi="仿宋_GB2312" w:eastAsia="仿宋_GB2312" w:cs="仿宋_GB2312"/>
          <w:i w:val="0"/>
          <w:iCs w:val="0"/>
          <w:caps w:val="0"/>
          <w:color w:val="000000" w:themeColor="text1"/>
          <w:spacing w:val="0"/>
          <w:sz w:val="32"/>
          <w:szCs w:val="32"/>
          <w:lang w:eastAsia="zh-CN"/>
        </w:rPr>
        <w:t>按照有关规定依法严厉查处。</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2" w:firstLineChars="20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rPr>
      </w:pPr>
      <w:r>
        <w:rPr>
          <w:rFonts w:hint="eastAsia" w:ascii="楷体_GB2312" w:hAnsi="楷体_GB2312" w:eastAsia="楷体_GB2312" w:cs="楷体_GB2312"/>
          <w:b/>
          <w:bCs/>
          <w:i w:val="0"/>
          <w:iCs w:val="0"/>
          <w:caps w:val="0"/>
          <w:color w:val="000000" w:themeColor="text1"/>
          <w:spacing w:val="0"/>
          <w:kern w:val="0"/>
          <w:sz w:val="32"/>
          <w:szCs w:val="32"/>
          <w:lang w:val="en-US" w:eastAsia="zh-CN" w:bidi="ar"/>
        </w:rPr>
        <w:t>（三）督导阶段（2022年12月12日至今后）。</w:t>
      </w:r>
      <w:r>
        <w:rPr>
          <w:rFonts w:hint="eastAsia" w:ascii="仿宋" w:hAnsi="仿宋" w:eastAsia="仿宋"/>
          <w:color w:val="000000" w:themeColor="text1"/>
          <w:sz w:val="32"/>
          <w:szCs w:val="32"/>
          <w:lang w:val="en-US" w:eastAsia="zh-CN"/>
        </w:rPr>
        <w:t>区民政局（社会福利和养老服务指导中心）与区处非办对养老服务机构的重点单位进行督导抽查，有权对签约预付费养老机构的</w:t>
      </w:r>
      <w:r>
        <w:rPr>
          <w:rFonts w:hint="default" w:ascii="仿宋" w:hAnsi="仿宋" w:eastAsia="仿宋"/>
          <w:color w:val="000000" w:themeColor="text1"/>
          <w:sz w:val="32"/>
          <w:szCs w:val="32"/>
          <w:lang w:val="en-US" w:eastAsia="zh-CN"/>
        </w:rPr>
        <w:t>商业银行</w:t>
      </w:r>
      <w:r>
        <w:rPr>
          <w:rFonts w:hint="eastAsia" w:ascii="仿宋" w:hAnsi="仿宋" w:eastAsia="仿宋"/>
          <w:color w:val="000000" w:themeColor="text1"/>
          <w:sz w:val="32"/>
          <w:szCs w:val="32"/>
          <w:lang w:val="en-US" w:eastAsia="zh-CN"/>
        </w:rPr>
        <w:t>开展账户查询工作。</w:t>
      </w:r>
    </w:p>
    <w:p>
      <w:pPr>
        <w:pStyle w:val="1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val="en-US" w:eastAsia="zh-CN"/>
        </w:rPr>
        <w:t>三、</w:t>
      </w:r>
      <w:r>
        <w:rPr>
          <w:rFonts w:hint="eastAsia" w:ascii="黑体" w:hAnsi="黑体" w:eastAsia="黑体" w:cs="黑体"/>
          <w:bCs/>
          <w:color w:val="000000" w:themeColor="text1"/>
          <w:sz w:val="32"/>
          <w:szCs w:val="32"/>
        </w:rPr>
        <w:t>工作要求</w:t>
      </w:r>
    </w:p>
    <w:p>
      <w:pPr>
        <w:pStyle w:val="1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i w:val="0"/>
          <w:iCs w:val="0"/>
          <w:caps w:val="0"/>
          <w:color w:val="000000" w:themeColor="text1"/>
          <w:spacing w:val="0"/>
          <w:sz w:val="32"/>
          <w:szCs w:val="32"/>
          <w:lang w:val="en-US" w:eastAsia="zh-CN"/>
        </w:rPr>
        <w:t>1.</w:t>
      </w:r>
      <w:r>
        <w:rPr>
          <w:rFonts w:hint="eastAsia" w:ascii="仿宋_GB2312" w:hAnsi="仿宋_GB2312" w:eastAsia="仿宋_GB2312" w:cs="仿宋_GB2312"/>
          <w:i w:val="0"/>
          <w:iCs w:val="0"/>
          <w:caps w:val="0"/>
          <w:color w:val="000000" w:themeColor="text1"/>
          <w:spacing w:val="0"/>
          <w:sz w:val="32"/>
          <w:szCs w:val="32"/>
          <w:lang w:eastAsia="zh-CN"/>
        </w:rPr>
        <w:t>各养</w:t>
      </w:r>
      <w:r>
        <w:rPr>
          <w:rFonts w:hint="eastAsia" w:ascii="仿宋_GB2312" w:hAnsi="仿宋_GB2312" w:eastAsia="仿宋_GB2312" w:cs="仿宋_GB2312"/>
          <w:color w:val="000000" w:themeColor="text1"/>
          <w:sz w:val="32"/>
          <w:szCs w:val="32"/>
        </w:rPr>
        <w:t>老</w:t>
      </w:r>
      <w:r>
        <w:rPr>
          <w:rFonts w:hint="eastAsia" w:ascii="仿宋_GB2312" w:hAnsi="仿宋_GB2312" w:eastAsia="仿宋_GB2312" w:cs="仿宋_GB2312"/>
          <w:color w:val="000000" w:themeColor="text1"/>
          <w:sz w:val="32"/>
          <w:szCs w:val="32"/>
          <w:lang w:val="en-US" w:eastAsia="zh-CN"/>
        </w:rPr>
        <w:t>服务</w:t>
      </w:r>
      <w:r>
        <w:rPr>
          <w:rFonts w:hint="eastAsia" w:ascii="仿宋_GB2312" w:hAnsi="仿宋_GB2312" w:eastAsia="仿宋_GB2312" w:cs="仿宋_GB2312"/>
          <w:color w:val="000000" w:themeColor="text1"/>
          <w:sz w:val="32"/>
          <w:szCs w:val="32"/>
        </w:rPr>
        <w:t>机构要切实提高政治站位，全面履行主体责任，明确</w:t>
      </w:r>
      <w:r>
        <w:rPr>
          <w:rFonts w:hint="eastAsia" w:ascii="仿宋_GB2312" w:hAnsi="仿宋_GB2312" w:eastAsia="仿宋_GB2312" w:cs="仿宋_GB2312"/>
          <w:color w:val="000000" w:themeColor="text1"/>
          <w:sz w:val="32"/>
          <w:szCs w:val="32"/>
          <w:lang w:val="en-US" w:eastAsia="zh-CN"/>
        </w:rPr>
        <w:t>专人</w:t>
      </w:r>
      <w:r>
        <w:rPr>
          <w:rFonts w:hint="eastAsia" w:ascii="仿宋_GB2312" w:hAnsi="仿宋_GB2312" w:eastAsia="仿宋_GB2312" w:cs="仿宋_GB2312"/>
          <w:color w:val="000000" w:themeColor="text1"/>
          <w:sz w:val="32"/>
          <w:szCs w:val="32"/>
        </w:rPr>
        <w:t>负责，按照</w:t>
      </w:r>
      <w:r>
        <w:rPr>
          <w:rFonts w:hint="eastAsia" w:ascii="仿宋_GB2312" w:hAnsi="仿宋_GB2312" w:eastAsia="仿宋_GB2312" w:cs="仿宋_GB2312"/>
          <w:color w:val="000000" w:themeColor="text1"/>
          <w:sz w:val="32"/>
          <w:szCs w:val="32"/>
          <w:lang w:eastAsia="zh-CN"/>
        </w:rPr>
        <w:t>通知</w:t>
      </w:r>
      <w:r>
        <w:rPr>
          <w:rFonts w:hint="eastAsia" w:ascii="仿宋_GB2312" w:hAnsi="仿宋_GB2312" w:eastAsia="仿宋_GB2312" w:cs="仿宋_GB2312"/>
          <w:color w:val="000000" w:themeColor="text1"/>
          <w:sz w:val="32"/>
          <w:szCs w:val="32"/>
        </w:rPr>
        <w:t>要求开展全方位的自查工作</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并相应落实自查问题。</w:t>
      </w:r>
    </w:p>
    <w:p>
      <w:pPr>
        <w:pStyle w:val="1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i w:val="0"/>
          <w:iCs w:val="0"/>
          <w:caps w:val="0"/>
          <w:color w:val="000000" w:themeColor="text1"/>
          <w:spacing w:val="0"/>
          <w:sz w:val="32"/>
          <w:szCs w:val="32"/>
          <w:lang w:eastAsia="zh-CN"/>
        </w:rPr>
        <w:t>各养</w:t>
      </w:r>
      <w:r>
        <w:rPr>
          <w:rFonts w:hint="eastAsia" w:ascii="仿宋_GB2312" w:hAnsi="仿宋_GB2312" w:eastAsia="仿宋_GB2312" w:cs="仿宋_GB2312"/>
          <w:color w:val="000000" w:themeColor="text1"/>
          <w:sz w:val="32"/>
          <w:szCs w:val="32"/>
        </w:rPr>
        <w:t>老</w:t>
      </w:r>
      <w:r>
        <w:rPr>
          <w:rFonts w:hint="eastAsia" w:ascii="仿宋_GB2312" w:hAnsi="仿宋_GB2312" w:eastAsia="仿宋_GB2312" w:cs="仿宋_GB2312"/>
          <w:color w:val="000000" w:themeColor="text1"/>
          <w:sz w:val="32"/>
          <w:szCs w:val="32"/>
          <w:lang w:val="en-US" w:eastAsia="zh-CN"/>
        </w:rPr>
        <w:t>服务</w:t>
      </w:r>
      <w:r>
        <w:rPr>
          <w:rFonts w:hint="eastAsia" w:ascii="仿宋_GB2312" w:hAnsi="仿宋_GB2312" w:eastAsia="仿宋_GB2312" w:cs="仿宋_GB2312"/>
          <w:color w:val="000000" w:themeColor="text1"/>
          <w:sz w:val="32"/>
          <w:szCs w:val="32"/>
        </w:rPr>
        <w:t>机构要根据自身实际条件充分利用海报、横幅、电子屏、宣传册、新媒体（微信、微博）、致老人/家属的一封信、观看宣传教育片等多种形式，宣传针对非法集资行为表现</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危害性的宣传，切实提高老年人及家属风险防范意识。</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rPr>
      </w:pPr>
      <w:r>
        <w:rPr>
          <w:rFonts w:hint="eastAsia" w:ascii="仿宋_GB2312" w:hAnsi="仿宋_GB2312" w:eastAsia="仿宋_GB2312" w:cs="仿宋_GB2312"/>
          <w:color w:val="000000" w:themeColor="text1"/>
          <w:sz w:val="32"/>
          <w:szCs w:val="32"/>
          <w:lang w:val="en-US" w:eastAsia="zh-CN"/>
        </w:rPr>
        <w:t>3.区</w:t>
      </w:r>
      <w:r>
        <w:rPr>
          <w:rFonts w:hint="eastAsia" w:ascii="仿宋_GB2312" w:hAnsi="仿宋_GB2312" w:eastAsia="仿宋_GB2312" w:cs="仿宋_GB2312"/>
          <w:i w:val="0"/>
          <w:iCs w:val="0"/>
          <w:caps w:val="0"/>
          <w:color w:val="000000" w:themeColor="text1"/>
          <w:spacing w:val="0"/>
          <w:sz w:val="32"/>
          <w:szCs w:val="32"/>
          <w:lang w:eastAsia="zh-CN"/>
        </w:rPr>
        <w:t>民政局要会同区处非办等有关部门加强对养老</w:t>
      </w:r>
      <w:r>
        <w:rPr>
          <w:rFonts w:hint="eastAsia" w:ascii="仿宋_GB2312" w:hAnsi="仿宋_GB2312" w:eastAsia="仿宋_GB2312" w:cs="仿宋_GB2312"/>
          <w:i w:val="0"/>
          <w:iCs w:val="0"/>
          <w:caps w:val="0"/>
          <w:color w:val="000000" w:themeColor="text1"/>
          <w:spacing w:val="0"/>
          <w:sz w:val="32"/>
          <w:szCs w:val="32"/>
          <w:lang w:val="en-US" w:eastAsia="zh-CN"/>
        </w:rPr>
        <w:t>服务</w:t>
      </w:r>
      <w:r>
        <w:rPr>
          <w:rFonts w:hint="eastAsia" w:ascii="仿宋_GB2312" w:hAnsi="仿宋_GB2312" w:eastAsia="仿宋_GB2312" w:cs="仿宋_GB2312"/>
          <w:i w:val="0"/>
          <w:iCs w:val="0"/>
          <w:caps w:val="0"/>
          <w:color w:val="000000" w:themeColor="text1"/>
          <w:spacing w:val="0"/>
          <w:sz w:val="32"/>
          <w:szCs w:val="32"/>
          <w:lang w:eastAsia="zh-CN"/>
        </w:rPr>
        <w:t>机构收取预付费和养老服务费、存管账户资金管理使用情况进行监督检查。发现养老机构违规收取预付费或不按要求将预付费缴入存管账户的，应当责令改正；对拒不改正或有违法违规行为的，按照有关规定依法严厉查处。</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fldChar w:fldCharType="begin"/>
      </w:r>
      <w:r>
        <w:rPr>
          <w:rFonts w:hint="eastAsia" w:ascii="仿宋_GB2312" w:hAnsi="仿宋_GB2312" w:eastAsia="仿宋_GB2312" w:cs="仿宋_GB2312"/>
          <w:i w:val="0"/>
          <w:iCs w:val="0"/>
          <w:caps w:val="0"/>
          <w:color w:val="000000" w:themeColor="text1"/>
          <w:spacing w:val="0"/>
          <w:sz w:val="32"/>
          <w:szCs w:val="32"/>
          <w:lang w:val="en-US" w:eastAsia="zh-CN"/>
        </w:rPr>
        <w:instrText xml:space="preserve"> HYPERLINK "mailto:4.区民政局、区处非办要定期对养老机构院长组织开展工作培训指导，同时要扩大宣传范围，提升宣传效果，通过电视、广播、报刊、网络等各类媒介或载体等多种渠道广泛宣传和传播，引导老年人及其家属通过举报平台(天津市非法集资举报平台电话23601731和电子邮箱&lt;tjscfjb@163.com&gt;)提供线索，并依据《天津市非法集资举报奖励办法》给予提供有效线索举报人奖励。" </w:instrText>
      </w:r>
      <w:r>
        <w:rPr>
          <w:rFonts w:hint="eastAsia" w:ascii="仿宋_GB2312" w:hAnsi="仿宋_GB2312" w:eastAsia="仿宋_GB2312" w:cs="仿宋_GB2312"/>
          <w:i w:val="0"/>
          <w:iCs w:val="0"/>
          <w:caps w:val="0"/>
          <w:color w:val="000000" w:themeColor="text1"/>
          <w:spacing w:val="0"/>
          <w:sz w:val="32"/>
          <w:szCs w:val="32"/>
          <w:lang w:val="en-US" w:eastAsia="zh-CN"/>
        </w:rPr>
        <w:fldChar w:fldCharType="separate"/>
      </w:r>
      <w:r>
        <w:rPr>
          <w:rFonts w:hint="eastAsia" w:ascii="仿宋_GB2312" w:hAnsi="仿宋_GB2312" w:eastAsia="仿宋_GB2312" w:cs="仿宋_GB2312"/>
          <w:i w:val="0"/>
          <w:iCs w:val="0"/>
          <w:caps w:val="0"/>
          <w:color w:val="000000" w:themeColor="text1"/>
          <w:spacing w:val="0"/>
          <w:sz w:val="32"/>
          <w:szCs w:val="32"/>
          <w:lang w:val="en-US" w:eastAsia="zh-CN"/>
        </w:rPr>
        <w:t>4.</w:t>
      </w:r>
      <w:r>
        <w:rPr>
          <w:rFonts w:hint="eastAsia" w:ascii="仿宋_GB2312" w:hAnsi="仿宋_GB2312" w:eastAsia="仿宋_GB2312" w:cs="仿宋_GB2312"/>
          <w:i w:val="0"/>
          <w:iCs w:val="0"/>
          <w:caps w:val="0"/>
          <w:color w:val="000000" w:themeColor="text1"/>
          <w:spacing w:val="0"/>
          <w:sz w:val="32"/>
          <w:szCs w:val="32"/>
          <w:lang w:eastAsia="zh-CN"/>
        </w:rPr>
        <w:t>区民政局、区处非办要定期对养老</w:t>
      </w:r>
      <w:r>
        <w:rPr>
          <w:rFonts w:hint="eastAsia" w:ascii="仿宋_GB2312" w:hAnsi="仿宋_GB2312" w:eastAsia="仿宋_GB2312" w:cs="仿宋_GB2312"/>
          <w:i w:val="0"/>
          <w:iCs w:val="0"/>
          <w:caps w:val="0"/>
          <w:color w:val="000000" w:themeColor="text1"/>
          <w:spacing w:val="0"/>
          <w:sz w:val="32"/>
          <w:szCs w:val="32"/>
          <w:lang w:val="en-US" w:eastAsia="zh-CN"/>
        </w:rPr>
        <w:t>服务</w:t>
      </w:r>
      <w:r>
        <w:rPr>
          <w:rFonts w:hint="eastAsia" w:ascii="仿宋_GB2312" w:hAnsi="仿宋_GB2312" w:eastAsia="仿宋_GB2312" w:cs="仿宋_GB2312"/>
          <w:i w:val="0"/>
          <w:iCs w:val="0"/>
          <w:caps w:val="0"/>
          <w:color w:val="000000" w:themeColor="text1"/>
          <w:spacing w:val="0"/>
          <w:sz w:val="32"/>
          <w:szCs w:val="32"/>
          <w:lang w:eastAsia="zh-CN"/>
        </w:rPr>
        <w:t>机构院长组织开展工作培训指导，同时要扩大宣传范围，提升宣传效果，通过电视、广播、报刊、网络等各类媒介或载体等多种渠道广泛宣传和传播，引导老年人及其家属通过举报平台(天津市非法集资举报平台电话23601731和电子邮箱&lt;tjscfjb@163.com&gt;)提供线索，</w:t>
      </w:r>
      <w:r>
        <w:rPr>
          <w:rFonts w:hint="eastAsia" w:ascii="仿宋_GB2312" w:hAnsi="仿宋_GB2312" w:eastAsia="仿宋_GB2312" w:cs="仿宋_GB2312"/>
          <w:i w:val="0"/>
          <w:iCs w:val="0"/>
          <w:caps w:val="0"/>
          <w:color w:val="000000" w:themeColor="text1"/>
          <w:spacing w:val="0"/>
          <w:sz w:val="32"/>
          <w:szCs w:val="32"/>
          <w:lang w:val="en-US" w:eastAsia="zh-CN"/>
        </w:rPr>
        <w:fldChar w:fldCharType="end"/>
      </w:r>
      <w:r>
        <w:rPr>
          <w:rFonts w:hint="eastAsia" w:ascii="仿宋_GB2312" w:hAnsi="仿宋_GB2312" w:eastAsia="仿宋_GB2312" w:cs="仿宋_GB2312"/>
          <w:i w:val="0"/>
          <w:iCs w:val="0"/>
          <w:caps w:val="0"/>
          <w:color w:val="000000" w:themeColor="text1"/>
          <w:spacing w:val="0"/>
          <w:sz w:val="32"/>
          <w:szCs w:val="32"/>
          <w:lang w:eastAsia="zh-CN"/>
        </w:rPr>
        <w:t>接受社会各界和群众反映本区养老服务机构有关非法集资行为的线索举报，并及时开展前期调查，对举报投诉属实的，做好协同分类处置。</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附件：1. </w:t>
      </w:r>
      <w:r>
        <w:rPr>
          <w:rFonts w:hint="eastAsia" w:ascii="仿宋_GB2312" w:hAnsi="仿宋_GB2312" w:eastAsia="仿宋_GB2312" w:cs="仿宋_GB2312"/>
          <w:i w:val="0"/>
          <w:iCs w:val="0"/>
          <w:caps w:val="0"/>
          <w:color w:val="000000" w:themeColor="text1"/>
          <w:spacing w:val="0"/>
          <w:sz w:val="32"/>
          <w:szCs w:val="32"/>
          <w:lang w:eastAsia="zh-CN"/>
        </w:rPr>
        <w:t>天津市民政局</w:t>
      </w:r>
      <w:r>
        <w:rPr>
          <w:rFonts w:hint="eastAsia" w:ascii="仿宋_GB2312" w:hAnsi="仿宋_GB2312" w:eastAsia="仿宋_GB2312" w:cs="仿宋_GB2312"/>
          <w:i w:val="0"/>
          <w:iCs w:val="0"/>
          <w:caps w:val="0"/>
          <w:color w:val="000000" w:themeColor="text1"/>
          <w:spacing w:val="0"/>
          <w:sz w:val="32"/>
          <w:szCs w:val="32"/>
          <w:lang w:val="en-US" w:eastAsia="zh-CN"/>
        </w:rPr>
        <w:t xml:space="preserve"> 天津市处非办关于做好养老服务</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      领域防范和处置非法集资工作的意见</w:t>
      </w:r>
    </w:p>
    <w:p>
      <w:pPr>
        <w:pStyle w:val="1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600" w:leftChars="0" w:right="0" w:rightChars="0" w:firstLine="0" w:firstLineChars="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全国老龄办 公安部 民政部 中国银保监会关于  养老领域非法集资的风险提示</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_GB2312" w:hAnsi="仿宋_GB2312" w:eastAsia="仿宋_GB2312" w:cs="仿宋_GB2312"/>
          <w:i w:val="0"/>
          <w:iCs w:val="0"/>
          <w:caps w:val="0"/>
          <w:color w:val="000000" w:themeColor="text1"/>
          <w:spacing w:val="0"/>
          <w:sz w:val="32"/>
          <w:szCs w:val="32"/>
          <w:lang w:val="en-US" w:eastAsia="zh-CN"/>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_GB2312" w:hAnsi="仿宋_GB2312" w:eastAsia="仿宋_GB2312" w:cs="仿宋_GB2312"/>
          <w:i w:val="0"/>
          <w:iCs w:val="0"/>
          <w:caps w:val="0"/>
          <w:color w:val="000000" w:themeColor="text1"/>
          <w:spacing w:val="0"/>
          <w:sz w:val="32"/>
          <w:szCs w:val="32"/>
          <w:lang w:val="en-US" w:eastAsia="zh-CN"/>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_GB2312" w:hAnsi="仿宋_GB2312" w:eastAsia="仿宋_GB2312" w:cs="仿宋_GB2312"/>
          <w:i w:val="0"/>
          <w:iCs w:val="0"/>
          <w:caps w:val="0"/>
          <w:color w:val="000000" w:themeColor="text1"/>
          <w:spacing w:val="0"/>
          <w:w w:val="9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滨海新区民政局     </w:t>
      </w:r>
      <w:r>
        <w:rPr>
          <w:rFonts w:hint="eastAsia" w:ascii="仿宋_GB2312" w:hAnsi="仿宋_GB2312" w:eastAsia="仿宋_GB2312" w:cs="仿宋_GB2312"/>
          <w:i w:val="0"/>
          <w:iCs w:val="0"/>
          <w:caps w:val="0"/>
          <w:color w:val="000000" w:themeColor="text1"/>
          <w:spacing w:val="0"/>
          <w:w w:val="85"/>
          <w:sz w:val="32"/>
          <w:szCs w:val="32"/>
          <w:lang w:val="en-US" w:eastAsia="zh-CN"/>
        </w:rPr>
        <w:t>滨海新区防范和处置非法集资领导小组办公室</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                  2021年12月14日</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    （此件主动公开）</w:t>
      </w:r>
    </w:p>
    <w:p>
      <w:pPr>
        <w:keepNext w:val="0"/>
        <w:keepLines w:val="0"/>
        <w:pageBreakBefore w:val="0"/>
        <w:widowControl w:val="0"/>
        <w:kinsoku/>
        <w:wordWrap/>
        <w:overflowPunct/>
        <w:topLinePunct w:val="0"/>
        <w:autoSpaceDE/>
        <w:autoSpaceDN/>
        <w:bidi w:val="0"/>
        <w:adjustRightInd/>
        <w:snapToGrid/>
        <w:spacing w:line="580" w:lineRule="exact"/>
        <w:ind w:right="315" w:rightChars="150"/>
        <w:textAlignment w:val="auto"/>
        <w:rPr>
          <w:color w:val="000000" w:themeColor="text1"/>
        </w:rPr>
      </w:pPr>
      <w:r>
        <w:rPr>
          <w:rFonts w:hint="eastAsia" w:ascii="仿宋_GB2312" w:hAnsi="仿宋_GB2312" w:eastAsia="仿宋_GB2312" w:cs="仿宋_GB2312"/>
          <w:color w:val="000000" w:themeColor="text1"/>
          <w:sz w:val="28"/>
          <w:szCs w:val="28"/>
        </w:rPr>
        <w:pict>
          <v:line id="直接连接符 2" o:spid="_x0000_s1385" o:spt="20" style="position:absolute;left:0pt;margin-left:0.6pt;margin-top:28.55pt;height:0pt;width:441pt;z-index:251661312;mso-width-relative:page;mso-height-relative:page;" filled="f" stroked="t" coordsize="21600,21600" o:gfxdata="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1&#10;bqoI0AAAAAcBAAAPAAAAAAAAAAEAIAAAADgAAABkcnMvZG93bnJldi54bWxQSwECFAAUAAAACACH&#10;TuJAy6OSwd0BAACaAwAADgAAAAAAAAABACAAAAA1AQAAZHJzL2Uyb0RvYy54bWxQSwUGAAAAAAYA&#10;BgBZAQAAhAUAAAAA&#10;">
            <v:path arrowok="t"/>
            <v:fill on="f" focussize="0,0"/>
            <v:stroke weight="0.99pt" joinstyle="round"/>
            <v:imagedata o:title=""/>
            <o:lock v:ext="edit" aspectratio="f"/>
          </v:line>
        </w:pict>
      </w:r>
      <w:r>
        <w:rPr>
          <w:rFonts w:hint="eastAsia" w:ascii="仿宋_GB2312" w:hAnsi="仿宋_GB2312" w:eastAsia="仿宋_GB2312" w:cs="仿宋_GB2312"/>
          <w:color w:val="000000" w:themeColor="text1"/>
          <w:sz w:val="28"/>
          <w:szCs w:val="28"/>
        </w:rPr>
        <w:pict>
          <v:line id="直接连接符 1" o:spid="_x0000_s1386" o:spt="20" style="position:absolute;left:0pt;margin-top:3.95pt;height:0pt;width:441pt;mso-position-horizontal:center;z-index:251662336;mso-width-relative:page;mso-height-relative:page;" filled="f" stroked="t" coordsize="21600,21600" o:gfxdata="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y6HFl1AAAAAQBAAAPAAAAAAAAAAEAIAAAADgAAABkcnMvZG93bnJldi54bWxQSwECFAAUAAAA&#10;CACHTuJATwUGZ9wBAACZAwAADgAAAAAAAAABACAAAAA5AQAAZHJzL2Uyb0RvYy54bWxQSwUGAAAA&#10;AAYABgBZAQAAhwUAAAAA&#10;">
            <v:path arrowok="t"/>
            <v:fill on="f" focussize="0,0"/>
            <v:stroke weight="0.70992125984252pt" joinstyle="round"/>
            <v:imagedata o:title=""/>
            <o:lock v:ext="edit" aspectratio="f"/>
          </v:line>
        </w:pict>
      </w:r>
      <w:r>
        <w:rPr>
          <w:rFonts w:hint="eastAsia" w:ascii="仿宋_GB2312" w:hAnsi="仿宋_GB2312" w:eastAsia="仿宋_GB2312" w:cs="仿宋_GB2312"/>
          <w:color w:val="000000" w:themeColor="text1"/>
          <w:sz w:val="28"/>
          <w:szCs w:val="28"/>
          <w:lang w:val="en-US" w:eastAsia="zh-CN"/>
        </w:rPr>
        <w:t xml:space="preserve">  </w:t>
      </w:r>
      <w:r>
        <w:rPr>
          <w:rFonts w:hint="eastAsia" w:ascii="仿宋_GB2312" w:hAnsi="仿宋_GB2312" w:eastAsia="仿宋_GB2312" w:cs="仿宋_GB2312"/>
          <w:color w:val="000000" w:themeColor="text1"/>
          <w:sz w:val="28"/>
          <w:szCs w:val="28"/>
        </w:rPr>
        <w:t>天津市滨海新区民政局办公室            20</w:t>
      </w:r>
      <w:r>
        <w:rPr>
          <w:rFonts w:hint="eastAsia" w:ascii="仿宋_GB2312" w:hAnsi="仿宋_GB2312" w:eastAsia="仿宋_GB2312" w:cs="仿宋_GB2312"/>
          <w:color w:val="000000" w:themeColor="text1"/>
          <w:sz w:val="28"/>
          <w:szCs w:val="28"/>
          <w:lang w:val="en-US" w:eastAsia="zh-CN"/>
        </w:rPr>
        <w:t>21</w:t>
      </w:r>
      <w:r>
        <w:rPr>
          <w:rFonts w:hint="eastAsia" w:ascii="仿宋_GB2312" w:hAnsi="仿宋_GB2312" w:eastAsia="仿宋_GB2312" w:cs="仿宋_GB2312"/>
          <w:color w:val="000000" w:themeColor="text1"/>
          <w:sz w:val="28"/>
          <w:szCs w:val="28"/>
        </w:rPr>
        <w:t>年</w:t>
      </w:r>
      <w:r>
        <w:rPr>
          <w:rFonts w:hint="eastAsia" w:ascii="仿宋_GB2312" w:hAnsi="仿宋_GB2312" w:eastAsia="仿宋_GB2312" w:cs="仿宋_GB2312"/>
          <w:color w:val="000000" w:themeColor="text1"/>
          <w:sz w:val="28"/>
          <w:szCs w:val="28"/>
          <w:lang w:val="en-US" w:eastAsia="zh-CN"/>
        </w:rPr>
        <w:t>12</w:t>
      </w:r>
      <w:r>
        <w:rPr>
          <w:rFonts w:hint="eastAsia" w:ascii="仿宋_GB2312" w:hAnsi="仿宋_GB2312" w:eastAsia="仿宋_GB2312" w:cs="仿宋_GB2312"/>
          <w:color w:val="000000" w:themeColor="text1"/>
          <w:sz w:val="28"/>
          <w:szCs w:val="28"/>
        </w:rPr>
        <w:t>月</w:t>
      </w:r>
      <w:r>
        <w:rPr>
          <w:rFonts w:hint="eastAsia" w:ascii="仿宋_GB2312" w:hAnsi="仿宋_GB2312" w:eastAsia="仿宋_GB2312" w:cs="仿宋_GB2312"/>
          <w:color w:val="000000" w:themeColor="text1"/>
          <w:sz w:val="28"/>
          <w:szCs w:val="28"/>
          <w:lang w:val="en-US" w:eastAsia="zh-CN"/>
        </w:rPr>
        <w:t>14</w:t>
      </w:r>
      <w:r>
        <w:rPr>
          <w:rFonts w:hint="eastAsia" w:ascii="仿宋_GB2312" w:hAnsi="仿宋_GB2312" w:eastAsia="仿宋_GB2312" w:cs="仿宋_GB2312"/>
          <w:color w:val="000000" w:themeColor="text1"/>
          <w:sz w:val="28"/>
          <w:szCs w:val="28"/>
        </w:rPr>
        <w:t>日</w:t>
      </w:r>
      <w:r>
        <w:rPr>
          <w:rFonts w:hint="eastAsia" w:ascii="仿宋_GB2312" w:hAnsi="仿宋_GB2312" w:eastAsia="仿宋_GB2312" w:cs="仿宋_GB2312"/>
          <w:color w:val="000000" w:themeColor="text1"/>
          <w:sz w:val="28"/>
          <w:szCs w:val="28"/>
          <w:lang w:eastAsia="zh-CN"/>
        </w:rPr>
        <w:t>印</w:t>
      </w:r>
      <w:r>
        <w:rPr>
          <w:rFonts w:eastAsia="仿宋_GB2312"/>
          <w:color w:val="000000" w:themeColor="text1"/>
          <w:sz w:val="28"/>
          <w:szCs w:val="28"/>
        </w:rPr>
        <w:t>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Style w:val="19"/>
          <w:rFonts w:hint="eastAsia" w:ascii="黑体" w:hAnsi="黑体" w:eastAsia="黑体" w:cs="黑体"/>
          <w:b w:val="0"/>
          <w:bCs/>
          <w:i w:val="0"/>
          <w:iCs w:val="0"/>
          <w:caps w:val="0"/>
          <w:color w:val="000000" w:themeColor="text1"/>
          <w:spacing w:val="0"/>
          <w:sz w:val="32"/>
          <w:szCs w:val="32"/>
          <w:lang w:val="en-US" w:eastAsia="zh-CN"/>
        </w:rPr>
      </w:pPr>
      <w:r>
        <w:rPr>
          <w:rStyle w:val="19"/>
          <w:rFonts w:hint="eastAsia" w:ascii="黑体" w:hAnsi="黑体" w:eastAsia="黑体" w:cs="黑体"/>
          <w:b w:val="0"/>
          <w:bCs/>
          <w:i w:val="0"/>
          <w:iCs w:val="0"/>
          <w:caps w:val="0"/>
          <w:color w:val="000000" w:themeColor="text1"/>
          <w:spacing w:val="0"/>
          <w:sz w:val="32"/>
          <w:szCs w:val="32"/>
          <w:lang w:val="en-US" w:eastAsia="zh-CN"/>
        </w:rPr>
        <w:t>附件2</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Style w:val="19"/>
          <w:rFonts w:hint="default" w:ascii="方正小标宋简体" w:hAnsi="方正小标宋简体" w:eastAsia="方正小标宋简体" w:cs="方正小标宋简体"/>
          <w:b w:val="0"/>
          <w:bCs/>
          <w:i w:val="0"/>
          <w:iCs w:val="0"/>
          <w:caps w:val="0"/>
          <w:color w:val="000000" w:themeColor="text1"/>
          <w:spacing w:val="0"/>
          <w:sz w:val="44"/>
          <w:szCs w:val="44"/>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rPr>
      </w:pPr>
      <w:r>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rPr>
        <w:t>全国老龄办 公安部 民政部 中国银保监会    关于养老领域非法集资的风险提示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19"/>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近期，一些机构和企业打着“养老服务”“健康养老”等名义，以“高利息、高回报”为诱饵实施非法集资活动吸收老年人资金，给老年人造成严重财产损失和精神伤害，存在重大风险隐患。</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both"/>
        <w:textAlignment w:val="auto"/>
        <w:rPr>
          <w:rFonts w:hint="eastAsia" w:ascii="黑体" w:hAnsi="黑体" w:eastAsia="黑体" w:cs="黑体"/>
          <w:bCs/>
          <w:color w:val="000000" w:themeColor="text1"/>
          <w:sz w:val="32"/>
          <w:szCs w:val="32"/>
          <w:lang w:val="en-US" w:eastAsia="zh-CN"/>
        </w:rPr>
      </w:pPr>
      <w:r>
        <w:rPr>
          <w:rFonts w:hint="eastAsia" w:ascii="黑体" w:hAnsi="黑体" w:eastAsia="黑体" w:cs="黑体"/>
          <w:bCs/>
          <w:color w:val="000000" w:themeColor="text1"/>
          <w:sz w:val="32"/>
          <w:szCs w:val="32"/>
          <w:lang w:val="en-US" w:eastAsia="zh-CN"/>
        </w:rPr>
        <w:t>一、养老领域的非法集资表现形式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1.以提供“养老服务”为名非法集资。一些机构明显超过床位供给能力承诺服务，以办理“贵宾卡”“会员卡”“预付卡”、预交“养老服务费用”等名义，以向会员收取高额会员费、保证金或者为会员卡充值等形式非法集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2.以投资“养老项目”为名非法集资。一些机构或企业打着投资、加盟、入股养生养老基地，以销售虚构的养老公寓或者以长期出租养老床位、销售养老公寓使用权等名义，通过返本销售、售后返租、约定回购、承诺高额利息、“私募基金”等形式非法集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3.以销售“老年产品”为名非法集资。一些企业不具有销售商品的真实内容或者不以销售商品为主要目的，采取商品回购、寄存代售、消费返利、免费体检、免费旅游、赠送礼品、会议营销、养生讲座、专家义诊等方式欺骗、诱导老年群体，实施非法集资的行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4.以宣称“以房养老”为名非法集资。一些企业以非法占有为目的，打着“以房养老”的旗号，通过召开推介会、社区宣传等方式，诱使老年人签订“借贷”或者变相“借贷”“抵押”“担保”等相关协议，抵押房屋以获得出借资金，再将资金购买其“理财产品”并承诺给付高额利息等进行非法集资。</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both"/>
        <w:textAlignment w:val="auto"/>
        <w:rPr>
          <w:rFonts w:hint="eastAsia" w:ascii="黑体" w:hAnsi="黑体" w:eastAsia="黑体" w:cs="黑体"/>
          <w:bCs/>
          <w:color w:val="000000" w:themeColor="text1"/>
          <w:sz w:val="32"/>
          <w:szCs w:val="32"/>
          <w:lang w:val="en-US" w:eastAsia="zh-CN"/>
        </w:rPr>
      </w:pPr>
      <w:r>
        <w:rPr>
          <w:rFonts w:hint="eastAsia" w:ascii="黑体" w:hAnsi="黑体" w:eastAsia="黑体" w:cs="黑体"/>
          <w:bCs/>
          <w:color w:val="000000" w:themeColor="text1"/>
          <w:sz w:val="32"/>
          <w:szCs w:val="32"/>
          <w:lang w:val="en-US" w:eastAsia="zh-CN"/>
        </w:rPr>
        <w:t>二、风险提示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1.高额利息无法兑现。机构或企业承诺的高额利息主要来源于老年人缴纳的费用，属于拆东墙补西墙。多数企业不存在与其承诺回报相匹配的正当服务实体和收益，资金运转难以持续维系，高额利息仅为欺诈噱头，一旦资金链断裂，高额利息无法兑付，本金也难以追回。</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2.资金安全无法保障。机构或企业超出可持续盈利水平承诺还本付息，以高额利息为诱饵骗取老年人钱财。大量来自社会公众的资金难以得到有效监管，由发起机构控制，存在转移资金、卷款跑路的风险。</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3.养老需求无法满足。机构或企业以欺诈、诱骗的方式，骗取老年人信任，向老年人承诺高端养老服务或者销售养老产品，往往无法达到预期效果，老年人的养老需求无法得到有效满足。</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按照《防范和处置非法集资条例》等有关规定，对非法集资人、非法集资协助人将严肃追究法律责任，参与非法集资风险自担。请广大老年人和家属提高警惕，增强风险防范意识和识别能力，自觉远离非法集资，防止利益受损。如发现涉嫌违法犯罪线索，可积极向有关部门举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                                 全国老龄办 公安部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仿宋_GB2312" w:hAnsi="仿宋_GB2312" w:eastAsia="仿宋_GB2312" w:cs="仿宋_GB2312"/>
          <w:i w:val="0"/>
          <w:iCs w:val="0"/>
          <w:caps w:val="0"/>
          <w:color w:val="000000" w:themeColor="text1"/>
          <w:spacing w:val="0"/>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lang w:val="en-US" w:eastAsia="zh-CN"/>
        </w:rPr>
        <w:t>民政部 中国银保监会</w:t>
      </w:r>
    </w:p>
    <w:p>
      <w:pPr>
        <w:spacing w:line="600" w:lineRule="exact"/>
        <w:ind w:firstLine="5760" w:firstLineChars="1800"/>
        <w:rPr>
          <w:rFonts w:hint="eastAsia" w:eastAsia="仿宋_GB2312"/>
          <w:color w:val="000000" w:themeColor="text1"/>
          <w:sz w:val="32"/>
          <w:szCs w:val="32"/>
        </w:rPr>
      </w:pPr>
      <w:r>
        <w:rPr>
          <w:rFonts w:hint="eastAsia" w:ascii="仿宋_GB2312" w:hAnsi="仿宋_GB2312" w:eastAsia="仿宋_GB2312" w:cs="仿宋_GB2312"/>
          <w:i w:val="0"/>
          <w:iCs w:val="0"/>
          <w:caps w:val="0"/>
          <w:color w:val="000000" w:themeColor="text1"/>
          <w:spacing w:val="0"/>
          <w:sz w:val="32"/>
          <w:szCs w:val="32"/>
          <w:lang w:val="en-US" w:eastAsia="zh-CN"/>
        </w:rPr>
        <w:t xml:space="preserve">  2021年5月17日</w:t>
      </w:r>
      <w:r>
        <w:rPr>
          <w:rFonts w:hint="eastAsia" w:eastAsia="仿宋_GB2312"/>
          <w:color w:val="000000" w:themeColor="text1"/>
          <w:sz w:val="32"/>
          <w:szCs w:val="32"/>
        </w:rPr>
        <w:t xml:space="preserve"> </w:t>
      </w:r>
    </w:p>
    <w:p>
      <w:pPr>
        <w:spacing w:line="600" w:lineRule="exact"/>
        <w:rPr>
          <w:rFonts w:hint="eastAsia" w:eastAsia="仿宋_GB2312"/>
          <w:color w:val="000000" w:themeColor="text1"/>
          <w:sz w:val="32"/>
          <w:szCs w:val="32"/>
        </w:rPr>
      </w:pPr>
    </w:p>
    <w:p>
      <w:pPr>
        <w:spacing w:line="600" w:lineRule="exact"/>
        <w:ind w:firstLine="5760" w:firstLineChars="1800"/>
        <w:rPr>
          <w:rFonts w:hint="eastAsia" w:eastAsia="仿宋_GB2312"/>
          <w:color w:val="000000" w:themeColor="text1"/>
          <w:sz w:val="32"/>
          <w:szCs w:val="32"/>
        </w:rPr>
      </w:pPr>
    </w:p>
    <w:p>
      <w:pPr>
        <w:spacing w:line="600" w:lineRule="exact"/>
        <w:ind w:firstLine="5760" w:firstLineChars="1800"/>
        <w:rPr>
          <w:rFonts w:hint="eastAsia" w:eastAsia="仿宋_GB2312"/>
          <w:color w:val="000000" w:themeColor="text1"/>
          <w:sz w:val="32"/>
          <w:szCs w:val="32"/>
        </w:rPr>
      </w:pPr>
    </w:p>
    <w:p>
      <w:pPr>
        <w:widowControl/>
        <w:shd w:val="clear" w:color="auto" w:fill="FFFFFF"/>
        <w:spacing w:line="600" w:lineRule="exact"/>
        <w:rPr>
          <w:rFonts w:eastAsia="仿宋_GB2312"/>
          <w:sz w:val="28"/>
          <w:szCs w:val="28"/>
        </w:rPr>
      </w:pPr>
    </w:p>
    <w:sectPr>
      <w:headerReference r:id="rId3" w:type="default"/>
      <w:footerReference r:id="rId4" w:type="default"/>
      <w:footerReference r:id="rId5" w:type="even"/>
      <w:pgSz w:w="11906" w:h="16838"/>
      <w:pgMar w:top="2098"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Tahoma">
    <w:altName w:val="Droid Sans"/>
    <w:panose1 w:val="020B060403050404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微软简标宋">
    <w:altName w:val="方正书宋_GBK"/>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FF1C77"/>
    <w:multiLevelType w:val="singleLevel"/>
    <w:tmpl w:val="7BFF1C77"/>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revisionView w:markup="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2348495F"/>
    <w:rsid w:val="4D7F7225"/>
    <w:rsid w:val="4E1558FF"/>
    <w:rsid w:val="67ADC9A6"/>
    <w:rsid w:val="6FDC99EF"/>
    <w:rsid w:val="712F1B26"/>
    <w:rsid w:val="73BB7148"/>
    <w:rsid w:val="7B569B63"/>
    <w:rsid w:val="7B7E8202"/>
    <w:rsid w:val="7DAEEC59"/>
    <w:rsid w:val="9F7E4644"/>
    <w:rsid w:val="A6EE4A1E"/>
    <w:rsid w:val="CDFBFCB6"/>
    <w:rsid w:val="DFF31EBF"/>
    <w:rsid w:val="E77D2594"/>
    <w:rsid w:val="EF7F069D"/>
    <w:rsid w:val="F3EFB736"/>
    <w:rsid w:val="F62E4FCA"/>
    <w:rsid w:val="FF6CD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41"/>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42"/>
    <w:qFormat/>
    <w:uiPriority w:val="0"/>
    <w:pPr>
      <w:tabs>
        <w:tab w:val="center" w:pos="4153"/>
        <w:tab w:val="right" w:pos="8306"/>
      </w:tabs>
      <w:snapToGrid w:val="0"/>
      <w:jc w:val="left"/>
    </w:pPr>
    <w:rPr>
      <w:sz w:val="18"/>
      <w:szCs w:val="18"/>
    </w:rPr>
  </w:style>
  <w:style w:type="paragraph" w:styleId="11">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paragraph" w:customStyle="1" w:styleId="23">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List Paragraph1"/>
    <w:basedOn w:val="1"/>
    <w:qFormat/>
    <w:uiPriority w:val="0"/>
    <w:pPr>
      <w:ind w:firstLine="420" w:firstLineChars="200"/>
    </w:pPr>
  </w:style>
  <w:style w:type="paragraph" w:customStyle="1" w:styleId="25">
    <w:name w:val="_Style 1"/>
    <w:basedOn w:val="1"/>
    <w:qFormat/>
    <w:uiPriority w:val="0"/>
    <w:pPr>
      <w:ind w:firstLine="420" w:firstLineChars="200"/>
    </w:pPr>
    <w:rPr>
      <w:rFonts w:ascii="Calibri" w:hAnsi="Calibri"/>
    </w:rPr>
  </w:style>
  <w:style w:type="paragraph" w:customStyle="1" w:styleId="26">
    <w:name w:val="文件标题"/>
    <w:basedOn w:val="1"/>
    <w:qFormat/>
    <w:uiPriority w:val="0"/>
    <w:rPr>
      <w:rFonts w:ascii="宋体"/>
      <w:b/>
      <w:sz w:val="44"/>
    </w:rPr>
  </w:style>
  <w:style w:type="paragraph" w:customStyle="1" w:styleId="27">
    <w:name w:val="_Style 2"/>
    <w:basedOn w:val="1"/>
    <w:qFormat/>
    <w:uiPriority w:val="0"/>
  </w:style>
  <w:style w:type="paragraph" w:customStyle="1" w:styleId="28">
    <w:name w:val=" Char"/>
    <w:basedOn w:val="1"/>
    <w:qFormat/>
    <w:uiPriority w:val="0"/>
    <w:pPr>
      <w:tabs>
        <w:tab w:val="left" w:pos="360"/>
      </w:tabs>
    </w:pPr>
    <w:rPr>
      <w:sz w:val="24"/>
    </w:rPr>
  </w:style>
  <w:style w:type="paragraph" w:customStyle="1" w:styleId="2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31">
    <w:name w:val="样式3"/>
    <w:basedOn w:val="1"/>
    <w:qFormat/>
    <w:uiPriority w:val="0"/>
    <w:pPr>
      <w:ind w:firstLine="640" w:firstLineChars="200"/>
    </w:pPr>
    <w:rPr>
      <w:rFonts w:ascii="黑体" w:eastAsia="黑体"/>
      <w:sz w:val="32"/>
      <w:szCs w:val="32"/>
    </w:rPr>
  </w:style>
  <w:style w:type="paragraph" w:customStyle="1" w:styleId="32">
    <w:name w:val="p0"/>
    <w:basedOn w:val="1"/>
    <w:qFormat/>
    <w:uiPriority w:val="0"/>
    <w:pPr>
      <w:widowControl/>
    </w:pPr>
    <w:rPr>
      <w:rFonts w:ascii="Calibri" w:hAnsi="Calibri" w:cs="宋体"/>
      <w:kern w:val="0"/>
      <w:szCs w:val="21"/>
    </w:rPr>
  </w:style>
  <w:style w:type="paragraph" w:customStyle="1" w:styleId="33">
    <w:name w:val="普通(网站)1"/>
    <w:basedOn w:val="1"/>
    <w:qFormat/>
    <w:uiPriority w:val="0"/>
    <w:pPr>
      <w:spacing w:before="100" w:beforeAutospacing="1" w:after="100" w:afterAutospacing="1"/>
      <w:jc w:val="left"/>
    </w:pPr>
    <w:rPr>
      <w:kern w:val="0"/>
      <w:sz w:val="24"/>
      <w:szCs w:val="20"/>
    </w:rPr>
  </w:style>
  <w:style w:type="paragraph" w:customStyle="1" w:styleId="34">
    <w:name w:val="默认段落字体 Para Char Char Char Char Char Char Char"/>
    <w:basedOn w:val="1"/>
    <w:qFormat/>
    <w:uiPriority w:val="0"/>
    <w:rPr>
      <w:rFonts w:ascii="Tahoma" w:hAnsi="Tahoma"/>
      <w:sz w:val="24"/>
      <w:szCs w:val="20"/>
    </w:rPr>
  </w:style>
  <w:style w:type="paragraph" w:customStyle="1" w:styleId="35">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36">
    <w:name w:val="列出段落1"/>
    <w:basedOn w:val="1"/>
    <w:qFormat/>
    <w:uiPriority w:val="0"/>
    <w:pPr>
      <w:ind w:firstLine="420" w:firstLineChars="200"/>
    </w:pPr>
  </w:style>
  <w:style w:type="paragraph" w:styleId="37">
    <w:name w:val="List Paragraph"/>
    <w:basedOn w:val="1"/>
    <w:qFormat/>
    <w:uiPriority w:val="0"/>
    <w:pPr>
      <w:ind w:firstLine="420" w:firstLineChars="200"/>
    </w:pPr>
    <w:rPr>
      <w:rFonts w:ascii="Calibri" w:hAnsi="Calibri"/>
      <w:szCs w:val="22"/>
    </w:rPr>
  </w:style>
  <w:style w:type="paragraph" w:customStyle="1" w:styleId="38">
    <w:name w:val="Char"/>
    <w:basedOn w:val="1"/>
    <w:qFormat/>
    <w:uiPriority w:val="0"/>
    <w:pPr>
      <w:tabs>
        <w:tab w:val="left" w:pos="360"/>
      </w:tabs>
    </w:pPr>
    <w:rPr>
      <w:sz w:val="24"/>
    </w:rPr>
  </w:style>
  <w:style w:type="paragraph" w:customStyle="1" w:styleId="39">
    <w:name w:val="样式1"/>
    <w:basedOn w:val="1"/>
    <w:qFormat/>
    <w:uiPriority w:val="0"/>
    <w:pPr>
      <w:spacing w:afterLines="150"/>
      <w:jc w:val="center"/>
      <w:outlineLvl w:val="0"/>
    </w:pPr>
    <w:rPr>
      <w:b/>
      <w:sz w:val="44"/>
      <w:szCs w:val="44"/>
    </w:rPr>
  </w:style>
  <w:style w:type="paragraph" w:customStyle="1" w:styleId="40">
    <w:name w:val="样式4"/>
    <w:basedOn w:val="1"/>
    <w:link w:val="44"/>
    <w:qFormat/>
    <w:uiPriority w:val="0"/>
    <w:pPr>
      <w:ind w:firstLine="640" w:firstLineChars="200"/>
    </w:pPr>
    <w:rPr>
      <w:rFonts w:ascii="楷体_GB2312" w:eastAsia="楷体_GB2312"/>
      <w:kern w:val="0"/>
      <w:sz w:val="32"/>
      <w:szCs w:val="32"/>
      <w:lang w:val="en-US" w:eastAsia="zh-CN"/>
    </w:rPr>
  </w:style>
  <w:style w:type="character" w:customStyle="1" w:styleId="41">
    <w:name w:val="标题 2 Char"/>
    <w:basedOn w:val="18"/>
    <w:link w:val="3"/>
    <w:qFormat/>
    <w:uiPriority w:val="0"/>
    <w:rPr>
      <w:rFonts w:ascii="Arial" w:hAnsi="Arial" w:eastAsia="黑体"/>
      <w:b/>
      <w:kern w:val="2"/>
      <w:sz w:val="32"/>
      <w:szCs w:val="24"/>
      <w:lang w:val="en-US" w:eastAsia="zh-CN" w:bidi="ar-SA"/>
    </w:rPr>
  </w:style>
  <w:style w:type="character" w:customStyle="1" w:styleId="42">
    <w:name w:val="页脚 Char"/>
    <w:basedOn w:val="18"/>
    <w:link w:val="10"/>
    <w:qFormat/>
    <w:locked/>
    <w:uiPriority w:val="0"/>
    <w:rPr>
      <w:rFonts w:eastAsia="宋体"/>
      <w:kern w:val="2"/>
      <w:sz w:val="18"/>
      <w:szCs w:val="18"/>
      <w:lang w:val="en-US" w:eastAsia="zh-CN" w:bidi="ar-SA"/>
    </w:rPr>
  </w:style>
  <w:style w:type="character" w:customStyle="1" w:styleId="43">
    <w:name w:val="页眉 Char"/>
    <w:basedOn w:val="18"/>
    <w:link w:val="11"/>
    <w:semiHidden/>
    <w:qFormat/>
    <w:locked/>
    <w:uiPriority w:val="0"/>
    <w:rPr>
      <w:rFonts w:eastAsia="宋体"/>
      <w:kern w:val="2"/>
      <w:sz w:val="18"/>
      <w:szCs w:val="18"/>
      <w:lang w:val="en-US" w:eastAsia="zh-CN" w:bidi="ar-SA"/>
    </w:rPr>
  </w:style>
  <w:style w:type="character" w:customStyle="1" w:styleId="44">
    <w:name w:val="样式4 Char"/>
    <w:basedOn w:val="18"/>
    <w:link w:val="40"/>
    <w:qFormat/>
    <w:uiPriority w:val="0"/>
    <w:rPr>
      <w:rFonts w:ascii="楷体_GB2312" w:eastAsia="楷体_GB2312"/>
      <w:sz w:val="32"/>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87"/>
    <customShpInfo spid="_x0000_s1385"/>
    <customShpInfo spid="_x0000_s13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23</Words>
  <Characters>136</Characters>
  <Lines>1</Lines>
  <Paragraphs>1</Paragraphs>
  <TotalTime>3</TotalTime>
  <ScaleCrop>false</ScaleCrop>
  <LinksUpToDate>false</LinksUpToDate>
  <CharactersWithSpaces>158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2020-08-30T15:06:00Z</dcterms:created>
  <dc:creator>张殿武</dc:creator>
  <cp:lastModifiedBy>民政局制文</cp:lastModifiedBy>
  <cp:lastPrinted>2019-01-16T13:39:00Z</cp:lastPrinted>
  <dcterms:modified xsi:type="dcterms:W3CDTF">2021-12-16T16:21:07Z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