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滨海新区民政局2021年工作要点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年是中国共产党成立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周年，是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十四五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开局之年，是全面建设美丽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滨城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的关键之年，也是建设社会主义现代化先行区的启航之年。滨海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新区民政系统要坚持以习近平新时代中国特色社会主义思想为指导，深入贯彻党的十九大和十九届二中、三中、四中、五中全会精神，以习近平总书记对天津工作提出的“三个着力”重要要求为元为纲，认真落实市委十一届九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十次全会和区委三届十二次、十三次全会决策部署要求，进一步突出以人民为中心的发展思想，全面贯彻落实新发展理念和高质量发展要求，以美丽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滨城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建设为统领，以满足群众需求、保障有效供给为目标，做好巩固拓展脱贫攻坚成果同乡村振兴有效衔接，优化民政服务供给，高标准推进民政事业高质量发展，为加快建设生态、智慧、港产城融合的宜居宜业美丽滨海新城作出民政贡献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 一、推动提升党的建设规范化、标准化水平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以学习习近平新时代中国特色社会主义思想</w:t>
      </w:r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作为首要政治任务，定期举办理论学习中心组读书班，形成常态化、制度化，每年至少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次，每次不少于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天。围绕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庆祝建党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周年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，举办系列庆祝活动。组织开展党史学习教育，高质量开展书记讲党课，全年至少带头讲党课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次。联系民政系统实际，全年召开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1-2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次专题会议研究新时代民政党建工作，认真研究探索开拓党建工作新途径。加大对基层支部的督促和指导，全覆盖开展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1-2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次基层党建巡查，持续深化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五好党支部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创建，加大对长期处于中游水平党支部的提升工作力度。优化党员队伍结构，计划新发展党员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名。抓好党员教育培训工作，全年组织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1-2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期基层党组织书记、全体党员学习培训班，确保全体党员轮训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遍，党员集中学习培训时间不少于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学时。落实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向群众汇报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制度，坚持每年深入街镇、村居驻点调研，帮助基层研究解决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批群众关心的热点难点问题，全年形成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1-2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篇有价值调研报告。以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机关党建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+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服务基层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载体，持续推动转变工作作风，提高服务效能，打造模范机关。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二、推动社会救助和保障体系分类精准发展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完善社会保障和救助体系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牵头研究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年我区社会保障和救助体系项目新增、调整、取消工作，协调配合有关部门落实配套政策，及时调整执行项目标准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落实定期议事协调机制，协调解决困难群众个案难题。落实低保渐退政策，提高重度残疾人、重病患者等特殊困难群体的救助力度，改善分散供养特困人员生活质量，持续做好困难群众兜底保障。积极推进低保、低收入家庭和特困供养人员的确认权限下放街镇试点工作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推行承诺审批制，实现就近办理、滨海通办。落实好主动发现机制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继续加大监测预警力度，推进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人户分离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救助对象服务管理。推进社会救助精准实施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以入户调查和家庭经济状况核查相结合，做好在保家庭复审，推进动态管理，完善疑难问题评审会议制度，打通社会救助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最后一米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。推动兜底保障主体多元化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逐步完善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救助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+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服务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兜底保障模式。加强社会救助业务培训，强化基层工作监督检查。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三、推动养老等社会福利事业全面协调发展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大力推进构建居家社区机构相协调、医养康养相结合的养老服务体系，健全养老服务综合监管制度。完善社区老人家食堂服务和管理网络，落实好老人助餐补贴，解决困难失能和高龄等老年人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吃饭难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问题。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年计划全区增加养老服务床位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张，持续推动社区老年日间照料服务中心建设和运营机制改革，重点抓好老旧城区和涉农街镇服务设施建设，新建老年日间照料中心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个，纳入街镇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三考合一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指标体系。深化养老机构放管服改革，创造良好营商环境，发展普惠型养老服务和互助性养老，引导养老机构开设家庭照护床位，跟踪服务好在建项目，依规及时落实扶持政策，强化事中事后监管。加快智慧养老建设，稳步推进社会福利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一制三化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审批制度改革，实现高龄老人健康关爱金智能化申报审批发放。持续抓好养老机构消防安全三年行动，巩固提高养老院服务质量建设专项行动成效。落实好残疾人两项补贴，全面抓好养老机构常态化疫情防控。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 四、 推动基层社区治理持续创新发展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推进党建引领基层治理体制机制创新，牵头做好社区（村）建设工作。会同区委组织部等部门，进一步规范社区工作事项清单及准入制度。加强基层自治组织建设，做好城市社区和村级组织人员、经费保障，开展评星定级活动，补录社区工作者及党务工作者，完成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年社区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两委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和村级组织换届选举任务。出台我区关于进一步加强旧楼区长效管理的实施意见、旧楼区长效管理评星办法，升级旧楼区长效管理保障措施，进一步完善旧楼区长效管理区级补贴资金发放办法，拓展已运行的老旧小区信息系统平台，推动全区旧楼区长效管理工作规范化、精细化。完善社区工作者管理服务体制机制，加快推进城市社区工作者及农村干部队伍建设。积极开展智慧社区项目建设，开展泰达街智慧社区建设试点相关工作，提高社区治理与服务的便捷化、智能化、精细化水平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 五、推动社会组织持续健康发展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认真落实社会组织联席会议制度，完善社会组织双重管理和综合监管体系。推进社会组织活动异常名录、严重失信名单动态管理和信用体系建设，依法年检年报社会组织，坚决打击取缔非法社会组织，确保抽查不少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家、约谈不少于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50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家、评估不少于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家、年检年报率不低于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80%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。用好社区公益事业专项补助经费，着力推动区、开发区（街镇）、社区村三级枢纽社会组织建设，推动社区专项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/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微基金建设，大力培育发展社区社会组织以质为主、量质齐升，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年底前至少认定命名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个区级社会组织孵化基地。整理编辑社会工作人才队伍管理政策汇编，举办社会工作专业培训班，完善社会工作专业督导人才库。建立志愿服务宣讲团，推动社会组织建立志愿服务团队，完善志愿服务监督员队伍，及时纠正处理违规行为。协同社会组织党建，在年检评估中同步审核推进社会组织党的建设，协助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两新组织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工委不断提升社会组织党建规范化水平。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 六、推动社会事务管理服务稳步规范发展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落实民政部安葬（放）设施违规建设经营专项整治部署任务，做好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2020-2035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殡葬专项规划的编制及实施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开展殡葬领域大排查大整治专项突出问题整改工作。深入贯彻落实《天津市文明行为促进条例》，会同区市场监管局持续开展执法检查工作。持续加强节地生态安葬奖补政策，加强做好重大祭扫节日期间服务保障和移风易俗宣传。加强婚姻管理规范化建设，贯彻落实《民法典》，做好婚姻登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全市通办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，积极推进婚俗改革工作，深入开展婚姻家庭辅导服务，依法做好涉外婚姻登记工作。落实困境儿童救助保障政策，扎实开展关爱农村留守儿童、农村留守妇女及困境儿童志愿服务等系列品牌活动。推动组建滨海新区未成年人救助保护中心。大力规范收养登记工作，落实收养评估制度，规范工作流程和标准。着力开展流浪乞讨人员救助管理服务质量大提升专项行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 七、推动民政基础管理能力创新提升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做好民政事业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十四五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规划编制。加强民政财务管理，做好民政资金监管，严格统计数据核查。加快安全民政建设，落实安全生产专项整治三年行动计划，严格民政服务机构主体责任，持续开展深层次隐患排查整治，健全安全生产双重预防机制。加快法治民政建设，落实相关政策法规，推动民政依法行政，进一步提升民政执法效能和规范化水平。加快智慧民政建设，进一步完善民政业务系统数据库，建立共享机制，抓好网信工作，保障信息安全，推动实现民政治理体系和治理能力现代化。扎实做好文明城区复审长效常态化工作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持续巩固国家卫生区创建成果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继续开展双方双服促发展、健康促进机构、无烟机关、扫黑除恶、禁毒、保密、档案、信访维稳、平安建设、道路交通安全、全域科普、生活垃圾分离等工作。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: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本局承担区委、区政府重点任务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                                                  2021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一、滨海新区2021年20项民心工程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新建老年日间照料中心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个，新增养老服务床位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张。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开展泰达街未来（智慧）社区建设试点。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二、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0"/>
          <w:szCs w:val="10"/>
        </w:rPr>
        <w:t>  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美丽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滨城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”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建设攻坚行动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持续深化养老服务供给，新建老年日间照料中心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30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个，新增养老服务床位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张。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提升现代商贸、健康养老等服务业便利化品质化水平。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5.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搭建智慧养老平台，建立区域老年人数据库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6.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开展智慧街镇平台（一期）建设，提供便捷省事的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互联网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+”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服务。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7.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针对老年人运用智能技术困难，围绕老年人出行、就医、消费、文娱、办事等高频事项和服务场景，推动老年人享受智能化服务更加普遍，传统服务方式更加完善。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三、区委常委会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5"/>
          <w:szCs w:val="25"/>
        </w:rPr>
        <w:t>年工作要点任务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8.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完善社会保障和救助体系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,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推进低保、低收入家庭和特困供养人员确认权限下放街镇试点。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9.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开展关爱农村留守儿童、农村留守妇女及困境儿童志愿服务等系列品牌活动，组建未成年人救助保护中心。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2021-09-28T08:00:57Z</dcterms:created>
  <dc:creator>Administrator</dc:creator>
  <cp:lastModifiedBy>面面</cp:lastModifiedBy>
  <dcterms:modified xsi:type="dcterms:W3CDTF">2021-09-28T08:02:09Z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B3B6CC9F076143B493B1571A917A2854</vt:lpwstr>
  </property>
</Properties>
</file>