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关于印发《滨海新区民政局关于开展“精准救助百日会战”工作实施方案》的通知</w:t>
      </w:r>
    </w:p>
    <w:p>
      <w:pPr>
        <w:pStyle w:val="2"/>
        <w:keepNext w:val="0"/>
        <w:keepLines w:val="0"/>
        <w:widowControl/>
        <w:suppressLineNumbers w:val="0"/>
        <w:spacing w:before="60" w:beforeAutospacing="0" w:after="60" w:afterAutospacing="0" w:line="468" w:lineRule="atLeast"/>
        <w:ind w:left="0" w:right="0" w:firstLine="0"/>
        <w:rPr>
          <w:rFonts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line="468" w:lineRule="atLeast"/>
        <w:ind w:left="0" w:right="0" w:firstLine="0"/>
        <w:rPr>
          <w:rFonts w:ascii="sans-serif" w:hAnsi="sans-serif" w:eastAsia="sans-serif" w:cs="sans-serif"/>
          <w:i w:val="0"/>
          <w:iCs w:val="0"/>
          <w:caps w:val="0"/>
          <w:color w:val="000000"/>
          <w:spacing w:val="0"/>
          <w:sz w:val="19"/>
          <w:szCs w:val="19"/>
        </w:rPr>
      </w:pPr>
      <w:r>
        <w:rPr>
          <w:rFonts w:ascii="仿宋_GB2312" w:hAnsi="仿宋_GB2312" w:eastAsia="仿宋_GB2312" w:cs="仿宋_GB2312"/>
          <w:i w:val="0"/>
          <w:iCs w:val="0"/>
          <w:caps w:val="0"/>
          <w:color w:val="000000"/>
          <w:spacing w:val="0"/>
          <w:sz w:val="25"/>
          <w:szCs w:val="25"/>
        </w:rPr>
        <w:t>各相关管委会、各街镇：</w:t>
      </w:r>
    </w:p>
    <w:p>
      <w:pPr>
        <w:pStyle w:val="2"/>
        <w:keepNext w:val="0"/>
        <w:keepLines w:val="0"/>
        <w:widowControl/>
        <w:suppressLineNumbers w:val="0"/>
        <w:spacing w:before="60" w:beforeAutospacing="0" w:after="60" w:afterAutospacing="0" w:line="468"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为贯彻市民政局《关于开展“精准救助百日会战”的通知》（津民发〔2018〕59号）文件精神，经区民政局研究，现将《滨海新区民政局关于开展“精准救助百日会战”工作实施方案》印发给你们，请按照方案要求，抓好落实。</w:t>
      </w:r>
    </w:p>
    <w:p>
      <w:pPr>
        <w:pStyle w:val="2"/>
        <w:keepNext w:val="0"/>
        <w:keepLines w:val="0"/>
        <w:widowControl/>
        <w:suppressLineNumbers w:val="0"/>
        <w:spacing w:before="60" w:beforeAutospacing="0" w:after="60" w:afterAutospacing="0" w:line="468" w:lineRule="atLeast"/>
        <w:ind w:left="0" w:right="0" w:firstLine="516"/>
        <w:rPr>
          <w:rFonts w:hint="eastAsia" w:ascii="仿宋_GB2312" w:hAnsi="仿宋_GB2312" w:eastAsia="仿宋_GB2312" w:cs="仿宋_GB2312"/>
          <w:i w:val="0"/>
          <w:iCs w:val="0"/>
          <w:caps w:val="0"/>
          <w:color w:val="000000"/>
          <w:spacing w:val="0"/>
          <w:sz w:val="25"/>
          <w:szCs w:val="25"/>
        </w:rPr>
      </w:pPr>
      <w:r>
        <w:rPr>
          <w:rFonts w:hint="eastAsia" w:ascii="仿宋_GB2312" w:hAnsi="仿宋_GB2312" w:eastAsia="仿宋_GB2312" w:cs="仿宋_GB2312"/>
          <w:i w:val="0"/>
          <w:iCs w:val="0"/>
          <w:caps w:val="0"/>
          <w:color w:val="000000"/>
          <w:spacing w:val="0"/>
          <w:sz w:val="25"/>
          <w:szCs w:val="25"/>
        </w:rPr>
        <w:t> </w:t>
      </w:r>
    </w:p>
    <w:p>
      <w:pPr>
        <w:pStyle w:val="2"/>
        <w:keepNext w:val="0"/>
        <w:keepLines w:val="0"/>
        <w:widowControl/>
        <w:suppressLineNumbers w:val="0"/>
        <w:spacing w:before="60" w:beforeAutospacing="0" w:after="60" w:afterAutospacing="0" w:line="468" w:lineRule="atLeast"/>
        <w:ind w:left="0" w:right="0" w:firstLine="516"/>
        <w:rPr>
          <w:rFonts w:hint="eastAsia"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line="468" w:lineRule="atLeast"/>
        <w:ind w:left="0" w:right="0" w:firstLine="516"/>
        <w:rPr>
          <w:rFonts w:hint="default"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line="468" w:lineRule="atLeast"/>
        <w:ind w:left="0" w:right="0" w:firstLine="516"/>
        <w:jc w:val="righ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区民政局</w:t>
      </w:r>
    </w:p>
    <w:p>
      <w:pPr>
        <w:pStyle w:val="2"/>
        <w:keepNext w:val="0"/>
        <w:keepLines w:val="0"/>
        <w:widowControl/>
        <w:suppressLineNumbers w:val="0"/>
        <w:spacing w:before="192" w:beforeAutospacing="0" w:after="0" w:afterAutospacing="0" w:line="468" w:lineRule="atLeast"/>
        <w:ind w:left="0" w:right="0" w:firstLine="516"/>
        <w:jc w:val="righ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2018年11月19日</w:t>
      </w:r>
    </w:p>
    <w:p>
      <w:pPr>
        <w:pStyle w:val="2"/>
        <w:keepNext w:val="0"/>
        <w:keepLines w:val="0"/>
        <w:widowControl/>
        <w:suppressLineNumbers w:val="0"/>
        <w:spacing w:before="60" w:beforeAutospacing="0" w:after="60" w:afterAutospacing="0" w:line="468" w:lineRule="atLeast"/>
        <w:ind w:left="0" w:right="0" w:firstLine="516"/>
        <w:jc w:val="righ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（此件主动公开）</w:t>
      </w:r>
    </w:p>
    <w:p>
      <w:pPr>
        <w:pStyle w:val="2"/>
        <w:keepNext w:val="0"/>
        <w:keepLines w:val="0"/>
        <w:widowControl/>
        <w:suppressLineNumbers w:val="0"/>
        <w:spacing w:before="60" w:beforeAutospacing="0" w:after="60" w:afterAutospacing="0" w:line="444" w:lineRule="atLeast"/>
        <w:ind w:left="0" w:right="0"/>
        <w:jc w:val="center"/>
        <w:rPr>
          <w:rFonts w:ascii="微软简标宋" w:hAnsi="微软简标宋" w:eastAsia="微软简标宋" w:cs="微软简标宋"/>
          <w:i w:val="0"/>
          <w:iCs w:val="0"/>
          <w:caps w:val="0"/>
          <w:color w:val="000000"/>
          <w:spacing w:val="0"/>
          <w:sz w:val="28"/>
          <w:szCs w:val="28"/>
        </w:rPr>
      </w:pPr>
      <w:r>
        <w:rPr>
          <w:rFonts w:ascii="微软简标宋" w:hAnsi="微软简标宋" w:eastAsia="微软简标宋" w:cs="微软简标宋"/>
          <w:i w:val="0"/>
          <w:iCs w:val="0"/>
          <w:caps w:val="0"/>
          <w:color w:val="000000"/>
          <w:spacing w:val="0"/>
          <w:sz w:val="28"/>
          <w:szCs w:val="28"/>
        </w:rPr>
        <w:t> </w:t>
      </w:r>
    </w:p>
    <w:p>
      <w:pPr>
        <w:pStyle w:val="2"/>
        <w:keepNext w:val="0"/>
        <w:keepLines w:val="0"/>
        <w:widowControl/>
        <w:suppressLineNumbers w:val="0"/>
        <w:spacing w:before="60" w:beforeAutospacing="0" w:after="60" w:afterAutospacing="0" w:line="444" w:lineRule="atLeast"/>
        <w:ind w:left="0" w:right="0"/>
        <w:jc w:val="center"/>
        <w:rPr>
          <w:rFonts w:ascii="微软简标宋" w:hAnsi="微软简标宋" w:eastAsia="微软简标宋" w:cs="微软简标宋"/>
          <w:i w:val="0"/>
          <w:iCs w:val="0"/>
          <w:caps w:val="0"/>
          <w:color w:val="000000"/>
          <w:spacing w:val="0"/>
          <w:sz w:val="28"/>
          <w:szCs w:val="28"/>
        </w:rPr>
      </w:pPr>
    </w:p>
    <w:p>
      <w:pPr>
        <w:pStyle w:val="2"/>
        <w:keepNext w:val="0"/>
        <w:keepLines w:val="0"/>
        <w:widowControl/>
        <w:suppressLineNumbers w:val="0"/>
        <w:spacing w:before="60" w:beforeAutospacing="0" w:after="60" w:afterAutospacing="0" w:line="444" w:lineRule="atLeast"/>
        <w:ind w:left="0" w:right="0"/>
        <w:jc w:val="center"/>
        <w:rPr>
          <w:rFonts w:ascii="微软简标宋" w:hAnsi="微软简标宋" w:eastAsia="微软简标宋" w:cs="微软简标宋"/>
          <w:i w:val="0"/>
          <w:iCs w:val="0"/>
          <w:caps w:val="0"/>
          <w:color w:val="000000"/>
          <w:spacing w:val="0"/>
          <w:sz w:val="28"/>
          <w:szCs w:val="28"/>
        </w:rPr>
      </w:pPr>
    </w:p>
    <w:p>
      <w:pPr>
        <w:pStyle w:val="2"/>
        <w:keepNext w:val="0"/>
        <w:keepLines w:val="0"/>
        <w:widowControl/>
        <w:suppressLineNumbers w:val="0"/>
        <w:spacing w:before="60" w:beforeAutospacing="0" w:after="60" w:afterAutospacing="0" w:line="444" w:lineRule="atLeast"/>
        <w:ind w:left="0" w:right="0"/>
        <w:jc w:val="center"/>
        <w:rPr>
          <w:rFonts w:ascii="微软简标宋" w:hAnsi="微软简标宋" w:eastAsia="微软简标宋" w:cs="微软简标宋"/>
          <w:i w:val="0"/>
          <w:iCs w:val="0"/>
          <w:caps w:val="0"/>
          <w:color w:val="000000"/>
          <w:spacing w:val="0"/>
          <w:sz w:val="28"/>
          <w:szCs w:val="28"/>
        </w:rPr>
      </w:pPr>
    </w:p>
    <w:p>
      <w:pPr>
        <w:pStyle w:val="2"/>
        <w:keepNext w:val="0"/>
        <w:keepLines w:val="0"/>
        <w:widowControl/>
        <w:suppressLineNumbers w:val="0"/>
        <w:spacing w:before="60" w:beforeAutospacing="0" w:after="60" w:afterAutospacing="0" w:line="444" w:lineRule="atLeast"/>
        <w:ind w:left="0" w:right="0"/>
        <w:jc w:val="center"/>
        <w:rPr>
          <w:rFonts w:ascii="微软简标宋" w:hAnsi="微软简标宋" w:eastAsia="微软简标宋" w:cs="微软简标宋"/>
          <w:i w:val="0"/>
          <w:iCs w:val="0"/>
          <w:caps w:val="0"/>
          <w:color w:val="000000"/>
          <w:spacing w:val="0"/>
          <w:sz w:val="28"/>
          <w:szCs w:val="28"/>
        </w:rPr>
      </w:pPr>
    </w:p>
    <w:p>
      <w:pPr>
        <w:pStyle w:val="2"/>
        <w:keepNext w:val="0"/>
        <w:keepLines w:val="0"/>
        <w:widowControl/>
        <w:suppressLineNumbers w:val="0"/>
        <w:spacing w:before="60" w:beforeAutospacing="0" w:after="60" w:afterAutospacing="0" w:line="444" w:lineRule="atLeast"/>
        <w:ind w:left="0" w:right="0"/>
        <w:jc w:val="center"/>
        <w:rPr>
          <w:rFonts w:ascii="微软简标宋" w:hAnsi="微软简标宋" w:eastAsia="微软简标宋" w:cs="微软简标宋"/>
          <w:i w:val="0"/>
          <w:iCs w:val="0"/>
          <w:caps w:val="0"/>
          <w:color w:val="000000"/>
          <w:spacing w:val="0"/>
          <w:sz w:val="28"/>
          <w:szCs w:val="28"/>
        </w:rPr>
      </w:pPr>
    </w:p>
    <w:p>
      <w:pPr>
        <w:pStyle w:val="2"/>
        <w:keepNext w:val="0"/>
        <w:keepLines w:val="0"/>
        <w:widowControl/>
        <w:suppressLineNumbers w:val="0"/>
        <w:spacing w:before="60" w:beforeAutospacing="0" w:after="60" w:afterAutospacing="0" w:line="444" w:lineRule="atLeast"/>
        <w:ind w:left="0" w:right="0"/>
        <w:jc w:val="center"/>
        <w:rPr>
          <w:rFonts w:ascii="微软简标宋" w:hAnsi="微软简标宋" w:eastAsia="微软简标宋" w:cs="微软简标宋"/>
          <w:i w:val="0"/>
          <w:iCs w:val="0"/>
          <w:caps w:val="0"/>
          <w:color w:val="000000"/>
          <w:spacing w:val="0"/>
          <w:sz w:val="28"/>
          <w:szCs w:val="28"/>
        </w:rPr>
      </w:pPr>
    </w:p>
    <w:p>
      <w:pPr>
        <w:pStyle w:val="2"/>
        <w:keepNext w:val="0"/>
        <w:keepLines w:val="0"/>
        <w:widowControl/>
        <w:suppressLineNumbers w:val="0"/>
        <w:spacing w:before="60" w:beforeAutospacing="0" w:after="60" w:afterAutospacing="0" w:line="444" w:lineRule="atLeast"/>
        <w:ind w:left="0" w:right="0"/>
        <w:jc w:val="center"/>
        <w:rPr>
          <w:rFonts w:hint="default" w:ascii="微软简标宋" w:hAnsi="微软简标宋" w:eastAsia="微软简标宋" w:cs="微软简标宋"/>
          <w:i w:val="0"/>
          <w:iCs w:val="0"/>
          <w:caps w:val="0"/>
          <w:color w:val="000000"/>
          <w:spacing w:val="0"/>
          <w:sz w:val="34"/>
          <w:szCs w:val="34"/>
        </w:rPr>
      </w:pPr>
      <w:r>
        <w:rPr>
          <w:rFonts w:hint="default" w:ascii="微软简标宋" w:hAnsi="微软简标宋" w:eastAsia="微软简标宋" w:cs="微软简标宋"/>
          <w:i w:val="0"/>
          <w:iCs w:val="0"/>
          <w:caps w:val="0"/>
          <w:color w:val="000000"/>
          <w:spacing w:val="0"/>
          <w:sz w:val="34"/>
          <w:szCs w:val="34"/>
        </w:rPr>
        <w:t>滨海新区民政局关于开展“精准救助百日会战”工作</w:t>
      </w:r>
    </w:p>
    <w:p>
      <w:pPr>
        <w:pStyle w:val="2"/>
        <w:keepNext w:val="0"/>
        <w:keepLines w:val="0"/>
        <w:widowControl/>
        <w:suppressLineNumbers w:val="0"/>
        <w:spacing w:before="60" w:beforeAutospacing="0" w:after="60" w:afterAutospacing="0" w:line="444" w:lineRule="atLeast"/>
        <w:ind w:left="0" w:right="0"/>
        <w:jc w:val="center"/>
      </w:pPr>
      <w:r>
        <w:rPr>
          <w:rFonts w:hint="default" w:ascii="微软简标宋" w:hAnsi="微软简标宋" w:eastAsia="微软简标宋" w:cs="微软简标宋"/>
          <w:i w:val="0"/>
          <w:iCs w:val="0"/>
          <w:caps w:val="0"/>
          <w:color w:val="000000"/>
          <w:spacing w:val="0"/>
          <w:sz w:val="34"/>
          <w:szCs w:val="34"/>
        </w:rPr>
        <w:t>实施方案</w:t>
      </w:r>
    </w:p>
    <w:p>
      <w:pPr>
        <w:pStyle w:val="2"/>
        <w:keepNext w:val="0"/>
        <w:keepLines w:val="0"/>
        <w:widowControl/>
        <w:suppressLineNumbers w:val="0"/>
        <w:spacing w:before="60" w:beforeAutospacing="0" w:after="60" w:afterAutospacing="0" w:line="444" w:lineRule="atLeast"/>
        <w:ind w:left="0" w:right="0" w:firstLine="516"/>
      </w:pPr>
      <w:r>
        <w:rPr>
          <w:rFonts w:ascii="Calibri" w:hAnsi="Calibri" w:eastAsia="Calibri" w:cs="Calibri"/>
          <w:i w:val="0"/>
          <w:iCs w:val="0"/>
          <w:caps w:val="0"/>
          <w:color w:val="000000"/>
          <w:spacing w:val="0"/>
          <w:sz w:val="25"/>
          <w:szCs w:val="25"/>
        </w:rPr>
        <w:t> </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i w:val="0"/>
          <w:iCs w:val="0"/>
          <w:caps w:val="0"/>
          <w:color w:val="000000"/>
          <w:spacing w:val="0"/>
          <w:sz w:val="25"/>
          <w:szCs w:val="25"/>
        </w:rPr>
        <w:t>为认真贯彻党中央、国务院关于做好社会救助兜底保障工作、保障困难群众基本生活的重要要求,深入落实市委、市政府关于精准救助工作的部署要求，按照市民政局《关于开展“精准救助百日会战”的通知》（津民发〔2018〕59号）文件精神，现就我区“精准救助百日会战”，制定如下实施方案：</w:t>
      </w:r>
    </w:p>
    <w:p>
      <w:pPr>
        <w:pStyle w:val="2"/>
        <w:keepNext w:val="0"/>
        <w:keepLines w:val="0"/>
        <w:widowControl/>
        <w:suppressLineNumbers w:val="0"/>
        <w:spacing w:before="60" w:beforeAutospacing="0" w:after="60" w:afterAutospacing="0" w:line="480" w:lineRule="atLeast"/>
        <w:ind w:left="0" w:right="0" w:firstLine="516"/>
      </w:pPr>
      <w:r>
        <w:rPr>
          <w:rFonts w:ascii="黑体" w:hAnsi="宋体" w:eastAsia="黑体" w:cs="黑体"/>
          <w:i w:val="0"/>
          <w:iCs w:val="0"/>
          <w:caps w:val="0"/>
          <w:color w:val="000000"/>
          <w:spacing w:val="0"/>
          <w:sz w:val="25"/>
          <w:szCs w:val="25"/>
        </w:rPr>
        <w:t>一、工作目标</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i w:val="0"/>
          <w:iCs w:val="0"/>
          <w:caps w:val="0"/>
          <w:color w:val="000000"/>
          <w:spacing w:val="0"/>
          <w:sz w:val="25"/>
          <w:szCs w:val="25"/>
        </w:rPr>
        <w:t>通过开展“精准救助百日会战”，提升社会救助政策在广大群众尤其是困难群众中的知晓度；增强各级社会救助工作人员的使命感和责任心，提高业务能力水平；全面摸清困难群众基本状况，严格落实各项社会救助政策，做到应保尽保，使困难群众及时得到有效救助,避免“漏保”问题；完善落实各项社会救助工作机制，进一步规范社会救助管理工作，努力提升社会救助工作的精准度，下大力减少“错保”、“骗保”问题，坚决杜绝“人情保”、“关系保”。</w:t>
      </w:r>
    </w:p>
    <w:p>
      <w:pPr>
        <w:pStyle w:val="2"/>
        <w:keepNext w:val="0"/>
        <w:keepLines w:val="0"/>
        <w:widowControl/>
        <w:suppressLineNumbers w:val="0"/>
        <w:spacing w:before="60" w:beforeAutospacing="0" w:after="60" w:afterAutospacing="0" w:line="480" w:lineRule="atLeast"/>
        <w:ind w:left="0" w:right="0" w:firstLine="516"/>
      </w:pPr>
      <w:r>
        <w:rPr>
          <w:rFonts w:hint="eastAsia" w:ascii="黑体" w:hAnsi="宋体" w:eastAsia="黑体" w:cs="黑体"/>
          <w:i w:val="0"/>
          <w:iCs w:val="0"/>
          <w:caps w:val="0"/>
          <w:color w:val="000000"/>
          <w:spacing w:val="0"/>
          <w:sz w:val="25"/>
          <w:szCs w:val="25"/>
        </w:rPr>
        <w:t>二、主要任务安排</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i w:val="0"/>
          <w:iCs w:val="0"/>
          <w:caps w:val="0"/>
          <w:color w:val="000000"/>
          <w:spacing w:val="0"/>
          <w:sz w:val="25"/>
          <w:szCs w:val="25"/>
        </w:rPr>
        <w:t>开展“精准救助百日会战”从今年11月中旬开始，至2019年2月底结束，主要任务如下：</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仿宋_GB2312" w:hAnsi="仿宋_GB2312" w:eastAsia="仿宋_GB2312" w:cs="仿宋_GB2312"/>
          <w:i w:val="0"/>
          <w:iCs w:val="0"/>
          <w:caps w:val="0"/>
          <w:color w:val="000000"/>
          <w:spacing w:val="0"/>
          <w:sz w:val="25"/>
          <w:szCs w:val="25"/>
        </w:rPr>
        <w:t>（一）全面摸底排查，切实整改落实到位</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i w:val="0"/>
          <w:iCs w:val="0"/>
          <w:caps w:val="0"/>
          <w:color w:val="000000"/>
          <w:spacing w:val="0"/>
          <w:sz w:val="25"/>
          <w:szCs w:val="25"/>
        </w:rPr>
        <w:t>各相关管委会、各街镇组织民政专干、居村委会工作人员、驻村干部、社区管理网格员、志愿者等工作力量，对辖区内的低保、低收入家庭、特困人员等社会救助家庭进行逐户走访，对致困原因和享受救助待遇情况进行摸底排查。重点排查救助政策落实不到位、违规享受救助待遇以及经政府救助后仍存在突出困难的情况。对政策落实不到位和违规享受救助待遇的问题,要做到立查立纠、立行立改。对经政府救助后仍存在突出困难的家庭,要动员社会力量帮助其解决困难。在做好摸底排查工作的同时，对未享受社会救助待遇的老年人、残疾人、重特大疾病患者家庭进行摸底排查，了解掌握其实际困难，及时将符合救助条件的家庭纳入救助范围。</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仿宋_GB2312" w:hAnsi="仿宋_GB2312" w:eastAsia="仿宋_GB2312" w:cs="仿宋_GB2312"/>
          <w:i w:val="0"/>
          <w:iCs w:val="0"/>
          <w:caps w:val="0"/>
          <w:color w:val="000000"/>
          <w:spacing w:val="0"/>
          <w:sz w:val="25"/>
          <w:szCs w:val="25"/>
        </w:rPr>
        <w:t>（二）加大宣传力度，切实提高救助政策知晓度</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i w:val="0"/>
          <w:iCs w:val="0"/>
          <w:caps w:val="0"/>
          <w:color w:val="000000"/>
          <w:spacing w:val="0"/>
          <w:sz w:val="28"/>
          <w:szCs w:val="28"/>
        </w:rPr>
        <w:t>各相关管委会、各街镇要充分利用广播、电视、报刊、网络、微信公众号等媒体平台，广泛宣传低保、低收入家庭救助、特困人员救助供养、医疗救助、教育救助、住房救助、就业救助、临时救助、因病支出型家庭救助等各项社会救助政策，充分发挥街镇社会救助服务窗口和居村的阵地作用，采取张贴宣传挂图、配备宣传折页、政策手册等方式，将社会救助政策上墙上架上栏，更加贴近群众。各街镇要结合入户访查，采取发放小册子、明白纸、现场介绍解答等方式，向困难群众宣讲党和政府的各项救助政策，特别是要加强街镇救助服务窗口“一门受理，协同办理”机制的宣传，让困难群众知道政府有哪些救助政策、自己能申请哪类救助、如何申请救助。</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仿宋_GB2312" w:hAnsi="仿宋_GB2312" w:eastAsia="仿宋_GB2312" w:cs="仿宋_GB2312"/>
          <w:i w:val="0"/>
          <w:iCs w:val="0"/>
          <w:caps w:val="0"/>
          <w:color w:val="000000"/>
          <w:spacing w:val="0"/>
          <w:sz w:val="25"/>
          <w:szCs w:val="25"/>
        </w:rPr>
        <w:t>（三）加强培训力度，切实提高救助工作水平</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i w:val="0"/>
          <w:iCs w:val="0"/>
          <w:caps w:val="0"/>
          <w:color w:val="000000"/>
          <w:spacing w:val="0"/>
          <w:sz w:val="25"/>
          <w:szCs w:val="25"/>
        </w:rPr>
        <w:t>各相关管委会、各街镇要坚持把提高社会救助工作人员的能力素质作为提升社会救助经办服务能力的重要措施常抓不懈，在组织区和街镇两级社会救助工作人员培训的基础上，将居村委会主任及社会救助工作人员纳入直接培训范围。年底前，区民政局将组织1次区、街镇、居村三级社会救助工作人员培训班，对现行社会救助政策、工作机制、工作流程等内容进行系统化培训，使全体社会救助工作人员熟练掌握各项救助政策的申请条件、救助标准及审核审批程序，各相关管委会，各街镇也要组织相应培训。要加强思想政治教育和法纪教育，引导社会救助工作人员强化服务意识，设身处地为困难群众办实事、解难题。要教育社会救助工作人员牢固树立底线意识、红线意识，遵纪守法，老老实实做人、规规矩矩办事，坚决杜绝“微腐败”问题。</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仿宋_GB2312" w:hAnsi="仿宋_GB2312" w:eastAsia="仿宋_GB2312" w:cs="仿宋_GB2312"/>
          <w:i w:val="0"/>
          <w:iCs w:val="0"/>
          <w:caps w:val="0"/>
          <w:color w:val="000000"/>
          <w:spacing w:val="0"/>
          <w:sz w:val="25"/>
          <w:szCs w:val="25"/>
        </w:rPr>
        <w:t>（四）落实工作机制，加强社会救助规范化管理</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i w:val="0"/>
          <w:iCs w:val="0"/>
          <w:caps w:val="0"/>
          <w:color w:val="000000"/>
          <w:spacing w:val="0"/>
          <w:sz w:val="25"/>
          <w:szCs w:val="25"/>
        </w:rPr>
        <w:t>各相关管委会、各街镇要严格落实“主动发现”、“主动报告”、“一门受理、协同办理”、“经济状况核对”、“动态管理”、“监督检查”等社会救助工作机制，加强社会救助规范化管理。要进一步规范救助申请、审核、审批流程，严格按标准、按程序认定社会救助对象。要进一步规范低保、低收入家庭主动报告工作，采取有效措施引导他们定期或在家庭人口和经济状况发生变化时，及时向街镇或居村委会报告。要进一步规范社会救助家庭复审工作，采取信息化核对和入户调查相结合方式，定期对低保、低收入家庭、特困人员的家庭情况进行复审，及时清退不符合条件的救助对象。要进一步规范监督检查工作，在各相关管委会、街镇、居村对低保家庭的有关情况实行长期公示，区民政局、街镇要设立社会救助投诉举报电话并向社会公开，主动接受公众监督。在对特殊个案的处理上，要充分利用困难群众基本生活保障联席会议协调机制，集体研究、集体决策，减少救助随意性。</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仿宋_GB2312" w:hAnsi="仿宋_GB2312" w:eastAsia="仿宋_GB2312" w:cs="仿宋_GB2312"/>
          <w:i w:val="0"/>
          <w:iCs w:val="0"/>
          <w:caps w:val="0"/>
          <w:color w:val="000000"/>
          <w:spacing w:val="0"/>
          <w:sz w:val="25"/>
          <w:szCs w:val="25"/>
        </w:rPr>
        <w:t>（五）精心组织筹划，做好元旦春节扶贫助困工作</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i w:val="0"/>
          <w:iCs w:val="0"/>
          <w:caps w:val="0"/>
          <w:color w:val="000000"/>
          <w:spacing w:val="0"/>
          <w:sz w:val="25"/>
          <w:szCs w:val="25"/>
        </w:rPr>
        <w:t>各相关管委会、各街镇要精心筹划2019年元旦、春节期间的社会救助工作，严密组织节日期间慰问困难群众活动。确保在春节之前将城乡困难群众年终一次性补贴和过节费、取暖补贴等救助资金全部发放到困难家庭金融账户，各街镇要采取多种形式，充分动员社会力量开展两节扶贫助困工作。春节之前，区民政局将安排专门力量对辖区内的特困人员供养服务机构进行1次安全检查，及时发现解决供养服务机构在用电、取暖、防火、食品安全方面存在的问题和隐患。各街镇要组织人员对分散供养的特困人员进行走访，帮助他们解决实际问题。</w:t>
      </w:r>
    </w:p>
    <w:p>
      <w:pPr>
        <w:pStyle w:val="2"/>
        <w:keepNext w:val="0"/>
        <w:keepLines w:val="0"/>
        <w:widowControl/>
        <w:suppressLineNumbers w:val="0"/>
        <w:spacing w:before="60" w:beforeAutospacing="0" w:after="60" w:afterAutospacing="0" w:line="480" w:lineRule="atLeast"/>
        <w:ind w:left="0" w:right="0" w:firstLine="516"/>
      </w:pPr>
      <w:r>
        <w:rPr>
          <w:rFonts w:hint="eastAsia" w:ascii="黑体" w:hAnsi="宋体" w:eastAsia="黑体" w:cs="黑体"/>
          <w:i w:val="0"/>
          <w:iCs w:val="0"/>
          <w:caps w:val="0"/>
          <w:color w:val="000000"/>
          <w:spacing w:val="0"/>
          <w:sz w:val="25"/>
          <w:szCs w:val="25"/>
        </w:rPr>
        <w:t>三、工作要求</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仿宋_GB2312" w:hAnsi="仿宋_GB2312" w:eastAsia="仿宋_GB2312" w:cs="仿宋_GB2312"/>
          <w:i w:val="0"/>
          <w:iCs w:val="0"/>
          <w:caps w:val="0"/>
          <w:color w:val="000000"/>
          <w:spacing w:val="0"/>
          <w:sz w:val="25"/>
          <w:szCs w:val="25"/>
        </w:rPr>
        <w:t>（一）加强组织领导</w:t>
      </w:r>
    </w:p>
    <w:p>
      <w:pPr>
        <w:pStyle w:val="2"/>
        <w:keepNext w:val="0"/>
        <w:keepLines w:val="0"/>
        <w:widowControl/>
        <w:suppressLineNumbers w:val="0"/>
        <w:spacing w:before="60" w:beforeAutospacing="0" w:after="60" w:afterAutospacing="0" w:line="444" w:lineRule="atLeast"/>
        <w:ind w:left="0" w:right="0" w:firstLine="516"/>
      </w:pPr>
      <w:r>
        <w:rPr>
          <w:rFonts w:hint="eastAsia" w:ascii="仿宋_GB2312" w:hAnsi="仿宋_GB2312" w:eastAsia="仿宋_GB2312" w:cs="仿宋_GB2312"/>
          <w:i w:val="0"/>
          <w:iCs w:val="0"/>
          <w:caps w:val="0"/>
          <w:color w:val="000000"/>
          <w:spacing w:val="0"/>
          <w:sz w:val="25"/>
          <w:szCs w:val="25"/>
        </w:rPr>
        <w:t>各相关管委会、各街镇要切实加强对“精准救助百日会战”的组织实施，行政主要领导要亲自抓，细化各阶段目标任务，严明措施手段，按规定配齐基层救助工作软硬件，补齐基层工作短板，确保基层有人干事、有场所办事，要及时向区民政局汇报百日会战工作情况、经验做法等。区民政局将督促指导街镇依据实施方案开展“精准救助百日会战”。</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仿宋_GB2312" w:hAnsi="仿宋_GB2312" w:eastAsia="仿宋_GB2312" w:cs="仿宋_GB2312"/>
          <w:i w:val="0"/>
          <w:iCs w:val="0"/>
          <w:caps w:val="0"/>
          <w:color w:val="000000"/>
          <w:spacing w:val="0"/>
          <w:sz w:val="25"/>
          <w:szCs w:val="25"/>
        </w:rPr>
        <w:t>（二）逐级压实责任</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i w:val="0"/>
          <w:iCs w:val="0"/>
          <w:caps w:val="0"/>
          <w:color w:val="000000"/>
          <w:spacing w:val="0"/>
          <w:sz w:val="25"/>
          <w:szCs w:val="25"/>
        </w:rPr>
        <w:t>要强化区、街镇、居村委会履职尽责，相互支持、相互配合、</w:t>
      </w:r>
      <w:r>
        <w:rPr>
          <w:rFonts w:hint="default" w:ascii="Calibri" w:hAnsi="Calibri" w:eastAsia="Calibri" w:cs="Calibri"/>
          <w:i w:val="0"/>
          <w:iCs w:val="0"/>
          <w:caps w:val="0"/>
          <w:color w:val="000000"/>
          <w:spacing w:val="0"/>
          <w:sz w:val="25"/>
          <w:szCs w:val="25"/>
        </w:rPr>
        <w:t>勠</w:t>
      </w:r>
      <w:r>
        <w:rPr>
          <w:rFonts w:hint="eastAsia" w:ascii="仿宋_GB2312" w:hAnsi="仿宋_GB2312" w:eastAsia="仿宋_GB2312" w:cs="仿宋_GB2312"/>
          <w:i w:val="0"/>
          <w:iCs w:val="0"/>
          <w:caps w:val="0"/>
          <w:color w:val="000000"/>
          <w:spacing w:val="0"/>
          <w:sz w:val="25"/>
          <w:szCs w:val="25"/>
        </w:rPr>
        <w:t>力同心推动“精准救助百日会战”开展。区民政局将切实负起牵头责任，加强对街镇社会救助工作的跟踪指导和监督检查。相关管委会、街镇要积极履行社会救助受理主体责任，及时受理并审核困难群众救助申请，做好社会救助家庭动态管理工作。居村委会要积极配合街镇做好社会救助工作，主动发现辖区内的困难群众，积极向困难群众宣传社会救助政策，帮助他们申请社会救助，做好社会救助家庭管理服务工作。</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仿宋_GB2312" w:hAnsi="仿宋_GB2312" w:eastAsia="仿宋_GB2312" w:cs="仿宋_GB2312"/>
          <w:i w:val="0"/>
          <w:iCs w:val="0"/>
          <w:caps w:val="0"/>
          <w:color w:val="000000"/>
          <w:spacing w:val="0"/>
          <w:sz w:val="25"/>
          <w:szCs w:val="25"/>
        </w:rPr>
        <w:t>（三）加大追责力度</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i w:val="0"/>
          <w:iCs w:val="0"/>
          <w:caps w:val="0"/>
          <w:color w:val="000000"/>
          <w:spacing w:val="0"/>
          <w:sz w:val="25"/>
          <w:szCs w:val="25"/>
        </w:rPr>
        <w:t>各相关管委会、各街镇将会同纪检部门对在“精准救助百日会战”中发现的问题，区分主观故意、客观偏差和改革创新等不同情形，给予不同程度的追责。对因客观偏差或探索创新、先行先试造成工作失误的，从轻、减轻或免于追责。对因工作责任心不强、群众观念淡薄、服务意识差等主观原因造成的严重错保、漏保问题，要严肃追究相关人员责任。对优亲厚友、吃拿卡要、贪占冒领等“微腐败”问题，要对当事人依纪依法给予严厉惩处。</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仿宋_GB2312" w:hAnsi="仿宋_GB2312" w:eastAsia="仿宋_GB2312" w:cs="仿宋_GB2312"/>
          <w:i w:val="0"/>
          <w:iCs w:val="0"/>
          <w:caps w:val="0"/>
          <w:color w:val="000000"/>
          <w:spacing w:val="0"/>
          <w:sz w:val="25"/>
          <w:szCs w:val="25"/>
        </w:rPr>
        <w:t>（四）强化战果清查</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i w:val="0"/>
          <w:iCs w:val="0"/>
          <w:caps w:val="0"/>
          <w:color w:val="000000"/>
          <w:spacing w:val="0"/>
          <w:sz w:val="25"/>
          <w:szCs w:val="25"/>
        </w:rPr>
        <w:t>各相关管委会、各街镇要建立“作战进度”定期报送制度，定期向区民政局报告反映工作进展、经验做法、困难问题和意见建议。要建立“作战台账”，及时统计全面复核救助对象人数、新增救助人数，其中包括通过有多少靠基层主动发现纳入救助范围的人数、退出救助人数分清主动退保、清查退保和群众举报退保的人数、查处违法违纪案件数量、清查过程中发现的问题等情况。各街镇及时做好排查情况的汇总工作，梳理、登记、建立台账，填写《滨海新区社会救助家庭排查情况统计表》，并于2月20日前将《滨海新区社会救助家庭排查情况统计表》及街镇开展“精准救助百日会战”总结报告报送区民政局。</w:t>
      </w:r>
    </w:p>
    <w:p>
      <w:pPr>
        <w:pStyle w:val="2"/>
        <w:keepNext w:val="0"/>
        <w:keepLines w:val="0"/>
        <w:widowControl/>
        <w:suppressLineNumbers w:val="0"/>
        <w:spacing w:before="60" w:beforeAutospacing="0" w:after="60" w:afterAutospacing="0" w:line="480" w:lineRule="atLeast"/>
        <w:ind w:left="0" w:right="0" w:firstLine="516"/>
      </w:pPr>
      <w:r>
        <w:rPr>
          <w:rFonts w:hint="eastAsia" w:ascii="仿宋_GB2312" w:hAnsi="仿宋_GB2312" w:eastAsia="仿宋_GB2312" w:cs="仿宋_GB2312"/>
          <w:i w:val="0"/>
          <w:iCs w:val="0"/>
          <w:caps w:val="0"/>
          <w:color w:val="000000"/>
          <w:spacing w:val="0"/>
          <w:sz w:val="25"/>
          <w:szCs w:val="25"/>
        </w:rPr>
        <w:t> </w:t>
      </w:r>
    </w:p>
    <w:p>
      <w:pPr>
        <w:pStyle w:val="2"/>
        <w:keepNext w:val="0"/>
        <w:keepLines w:val="0"/>
        <w:widowControl/>
        <w:suppressLineNumbers w:val="0"/>
        <w:spacing w:before="60" w:beforeAutospacing="0" w:after="60" w:afterAutospacing="0" w:line="444" w:lineRule="atLeast"/>
        <w:ind w:left="0" w:right="0" w:firstLine="516"/>
        <w:rPr>
          <w:rFonts w:hint="eastAsia" w:ascii="仿宋_GB2312" w:hAnsi="仿宋_GB2312" w:eastAsia="仿宋_GB2312" w:cs="仿宋_GB2312"/>
          <w:i w:val="0"/>
          <w:iCs w:val="0"/>
          <w:caps w:val="0"/>
          <w:color w:val="000000"/>
          <w:spacing w:val="0"/>
          <w:sz w:val="25"/>
          <w:szCs w:val="25"/>
        </w:rPr>
      </w:pPr>
      <w:r>
        <w:rPr>
          <w:rFonts w:hint="eastAsia" w:ascii="仿宋_GB2312" w:hAnsi="仿宋_GB2312" w:eastAsia="仿宋_GB2312" w:cs="仿宋_GB2312"/>
          <w:i w:val="0"/>
          <w:iCs w:val="0"/>
          <w:caps w:val="0"/>
          <w:color w:val="000000"/>
          <w:spacing w:val="0"/>
          <w:sz w:val="25"/>
          <w:szCs w:val="25"/>
        </w:rPr>
        <w:t>附件：1.滨海新区社会救助家庭排查情况统计表（在保）</w:t>
      </w:r>
    </w:p>
    <w:p>
      <w:pPr>
        <w:pStyle w:val="2"/>
        <w:keepNext w:val="0"/>
        <w:keepLines w:val="0"/>
        <w:widowControl/>
        <w:suppressLineNumbers w:val="0"/>
        <w:spacing w:before="60" w:beforeAutospacing="0" w:after="60" w:afterAutospacing="0" w:line="444" w:lineRule="atLeast"/>
        <w:ind w:right="0" w:firstLine="1260" w:firstLineChars="500"/>
      </w:pPr>
      <w:r>
        <w:rPr>
          <w:rFonts w:hint="eastAsia" w:ascii="仿宋_GB2312" w:hAnsi="仿宋_GB2312" w:eastAsia="仿宋_GB2312" w:cs="仿宋_GB2312"/>
          <w:i w:val="0"/>
          <w:iCs w:val="0"/>
          <w:caps w:val="0"/>
          <w:color w:val="000000"/>
          <w:spacing w:val="0"/>
          <w:sz w:val="25"/>
          <w:szCs w:val="25"/>
        </w:rPr>
        <w:t> 2.滨海新区社会救助家庭排查情况统计表（2018年申请社会救助审批未通过）</w:t>
      </w:r>
    </w:p>
    <w:p>
      <w:pPr>
        <w:pStyle w:val="2"/>
        <w:keepNext w:val="0"/>
        <w:keepLines w:val="0"/>
        <w:widowControl/>
        <w:suppressLineNumbers w:val="0"/>
        <w:spacing w:before="0" w:beforeAutospacing="0" w:after="0" w:afterAutospacing="0" w:line="444" w:lineRule="atLeast"/>
        <w:ind w:left="1620" w:right="0"/>
      </w:pPr>
      <w:r>
        <w:rPr>
          <w:rFonts w:hint="eastAsia" w:ascii="仿宋_GB2312" w:hAnsi="仿宋_GB2312" w:eastAsia="仿宋_GB2312" w:cs="仿宋_GB2312"/>
          <w:i w:val="0"/>
          <w:iCs w:val="0"/>
          <w:caps w:val="0"/>
          <w:color w:val="000000"/>
          <w:spacing w:val="0"/>
          <w:sz w:val="25"/>
          <w:szCs w:val="25"/>
        </w:rPr>
        <w:t>       </w:t>
      </w:r>
    </w:p>
    <w:p>
      <w:pPr>
        <w:pStyle w:val="2"/>
        <w:keepNext w:val="0"/>
        <w:keepLines w:val="0"/>
        <w:widowControl/>
        <w:suppressLineNumbers w:val="0"/>
        <w:spacing w:before="60" w:beforeAutospacing="0" w:after="60" w:afterAutospacing="0" w:line="480" w:lineRule="atLeast"/>
        <w:ind w:left="0" w:right="0" w:firstLine="3972"/>
      </w:pPr>
      <w:r>
        <w:rPr>
          <w:rFonts w:hint="eastAsia" w:ascii="仿宋_GB2312" w:hAnsi="仿宋_GB2312" w:eastAsia="仿宋_GB2312" w:cs="仿宋_GB2312"/>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0"/>
        <w:rPr>
          <w:rFonts w:hint="eastAsia" w:ascii="黑体" w:hAnsi="宋体" w:eastAsia="黑体" w:cs="黑体"/>
          <w:i w:val="0"/>
          <w:iCs w:val="0"/>
          <w:caps w:val="0"/>
          <w:color w:val="000000"/>
          <w:spacing w:val="0"/>
          <w:sz w:val="25"/>
          <w:szCs w:val="25"/>
        </w:rPr>
      </w:pPr>
      <w:r>
        <w:rPr>
          <w:rFonts w:hint="eastAsia" w:ascii="黑体" w:hAnsi="宋体" w:eastAsia="黑体" w:cs="黑体"/>
          <w:i w:val="0"/>
          <w:iCs w:val="0"/>
          <w:caps w:val="0"/>
          <w:color w:val="000000"/>
          <w:spacing w:val="0"/>
          <w:sz w:val="25"/>
          <w:szCs w:val="25"/>
        </w:rPr>
        <w:t>附件1</w:t>
      </w:r>
    </w:p>
    <w:p>
      <w:pPr>
        <w:pStyle w:val="2"/>
        <w:keepNext w:val="0"/>
        <w:keepLines w:val="0"/>
        <w:widowControl/>
        <w:suppressLineNumbers w:val="0"/>
        <w:spacing w:before="60" w:beforeAutospacing="0" w:after="60" w:afterAutospacing="0"/>
        <w:ind w:left="0" w:right="0" w:firstLine="0"/>
        <w:jc w:val="center"/>
        <w:rPr>
          <w:rFonts w:hint="default" w:ascii="sans-serif" w:hAnsi="sans-serif" w:eastAsia="sans-serif" w:cs="sans-serif"/>
          <w:i w:val="0"/>
          <w:iCs w:val="0"/>
          <w:caps w:val="0"/>
          <w:color w:val="000000"/>
          <w:spacing w:val="0"/>
          <w:sz w:val="19"/>
          <w:szCs w:val="19"/>
        </w:rPr>
      </w:pPr>
      <w:r>
        <w:rPr>
          <w:rFonts w:ascii="方正小标宋简体" w:hAnsi="方正小标宋简体" w:eastAsia="方正小标宋简体" w:cs="方正小标宋简体"/>
          <w:i w:val="0"/>
          <w:iCs w:val="0"/>
          <w:caps w:val="0"/>
          <w:color w:val="000000"/>
          <w:spacing w:val="0"/>
          <w:sz w:val="34"/>
          <w:szCs w:val="34"/>
        </w:rPr>
        <w:t>滨海新区社会救助家庭排查情况统计表（在保）</w:t>
      </w:r>
    </w:p>
    <w:p>
      <w:pPr>
        <w:pStyle w:val="2"/>
        <w:keepNext w:val="0"/>
        <w:keepLines w:val="0"/>
        <w:widowControl/>
        <w:suppressLineNumbers w:val="0"/>
        <w:spacing w:before="60" w:beforeAutospacing="0" w:after="60" w:afterAutospacing="0"/>
        <w:ind w:left="0" w:right="0" w:firstLine="0"/>
        <w:rPr>
          <w:rFonts w:hint="default" w:ascii="黑体" w:hAnsi="宋体" w:eastAsia="黑体" w:cs="黑体"/>
          <w:i w:val="0"/>
          <w:iCs w:val="0"/>
          <w:caps w:val="0"/>
          <w:color w:val="000000"/>
          <w:spacing w:val="0"/>
          <w:sz w:val="25"/>
          <w:szCs w:val="25"/>
        </w:rPr>
      </w:pPr>
    </w:p>
    <w:tbl>
      <w:tblPr>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84" w:type="dxa"/>
          <w:bottom w:w="0" w:type="dxa"/>
          <w:right w:w="84" w:type="dxa"/>
        </w:tblCellMar>
      </w:tblPr>
      <w:tblGrid>
        <w:gridCol w:w="272"/>
        <w:gridCol w:w="443"/>
        <w:gridCol w:w="1028"/>
        <w:gridCol w:w="422"/>
        <w:gridCol w:w="634"/>
        <w:gridCol w:w="634"/>
        <w:gridCol w:w="422"/>
        <w:gridCol w:w="557"/>
        <w:gridCol w:w="557"/>
        <w:gridCol w:w="552"/>
        <w:gridCol w:w="623"/>
        <w:gridCol w:w="770"/>
        <w:gridCol w:w="493"/>
        <w:gridCol w:w="8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84" w:type="dxa"/>
            <w:bottom w:w="0" w:type="dxa"/>
            <w:right w:w="84" w:type="dxa"/>
          </w:tblCellMar>
        </w:tblPrEx>
        <w:trPr>
          <w:trHeight w:val="360" w:hRule="atLeast"/>
        </w:trPr>
        <w:tc>
          <w:tcPr>
            <w:tcW w:w="31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序号</w:t>
            </w:r>
          </w:p>
        </w:tc>
        <w:tc>
          <w:tcPr>
            <w:tcW w:w="600" w:type="dxa"/>
            <w:vMerge w:val="restart"/>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申请人</w:t>
            </w:r>
          </w:p>
        </w:tc>
        <w:tc>
          <w:tcPr>
            <w:tcW w:w="1584" w:type="dxa"/>
            <w:vMerge w:val="restart"/>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身份证号</w:t>
            </w:r>
          </w:p>
        </w:tc>
        <w:tc>
          <w:tcPr>
            <w:tcW w:w="564" w:type="dxa"/>
            <w:vMerge w:val="restart"/>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ascii="仿宋" w:hAnsi="仿宋" w:eastAsia="仿宋" w:cs="仿宋"/>
                <w:i w:val="0"/>
                <w:iCs w:val="0"/>
                <w:caps w:val="0"/>
                <w:color w:val="000000"/>
                <w:spacing w:val="0"/>
                <w:sz w:val="19"/>
                <w:szCs w:val="19"/>
              </w:rPr>
              <w:t>家庭</w:t>
            </w:r>
          </w:p>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人口</w:t>
            </w:r>
          </w:p>
        </w:tc>
        <w:tc>
          <w:tcPr>
            <w:tcW w:w="792" w:type="dxa"/>
            <w:vMerge w:val="restart"/>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eastAsia" w:ascii="仿宋" w:hAnsi="仿宋" w:eastAsia="仿宋" w:cs="仿宋"/>
                <w:i w:val="0"/>
                <w:iCs w:val="0"/>
                <w:caps w:val="0"/>
                <w:color w:val="000000"/>
                <w:spacing w:val="0"/>
                <w:sz w:val="19"/>
                <w:szCs w:val="19"/>
              </w:rPr>
              <w:t>乡镇</w:t>
            </w:r>
          </w:p>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（街道）</w:t>
            </w:r>
          </w:p>
        </w:tc>
        <w:tc>
          <w:tcPr>
            <w:tcW w:w="792" w:type="dxa"/>
            <w:vMerge w:val="restart"/>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eastAsia" w:ascii="仿宋" w:hAnsi="仿宋" w:eastAsia="仿宋" w:cs="仿宋"/>
                <w:i w:val="0"/>
                <w:iCs w:val="0"/>
                <w:caps w:val="0"/>
                <w:color w:val="000000"/>
                <w:spacing w:val="0"/>
                <w:sz w:val="19"/>
                <w:szCs w:val="19"/>
              </w:rPr>
              <w:t>村</w:t>
            </w:r>
          </w:p>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（居委会）</w:t>
            </w:r>
          </w:p>
        </w:tc>
        <w:tc>
          <w:tcPr>
            <w:tcW w:w="564" w:type="dxa"/>
            <w:vMerge w:val="restart"/>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eastAsia" w:ascii="仿宋" w:hAnsi="仿宋" w:eastAsia="仿宋" w:cs="仿宋"/>
                <w:i w:val="0"/>
                <w:iCs w:val="0"/>
                <w:caps w:val="0"/>
                <w:color w:val="000000"/>
                <w:spacing w:val="0"/>
                <w:sz w:val="19"/>
                <w:szCs w:val="19"/>
              </w:rPr>
              <w:t>家庭</w:t>
            </w:r>
          </w:p>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收入</w:t>
            </w:r>
          </w:p>
        </w:tc>
        <w:tc>
          <w:tcPr>
            <w:tcW w:w="792" w:type="dxa"/>
            <w:vMerge w:val="restart"/>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eastAsia" w:ascii="仿宋" w:hAnsi="仿宋" w:eastAsia="仿宋" w:cs="仿宋"/>
                <w:i w:val="0"/>
                <w:iCs w:val="0"/>
                <w:caps w:val="0"/>
                <w:color w:val="000000"/>
                <w:spacing w:val="0"/>
                <w:sz w:val="19"/>
                <w:szCs w:val="19"/>
              </w:rPr>
              <w:t>家庭</w:t>
            </w:r>
          </w:p>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财产</w:t>
            </w:r>
          </w:p>
        </w:tc>
        <w:tc>
          <w:tcPr>
            <w:tcW w:w="792" w:type="dxa"/>
            <w:vMerge w:val="restart"/>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eastAsia" w:ascii="仿宋" w:hAnsi="仿宋" w:eastAsia="仿宋" w:cs="仿宋"/>
                <w:i w:val="0"/>
                <w:iCs w:val="0"/>
                <w:caps w:val="0"/>
                <w:color w:val="000000"/>
                <w:spacing w:val="0"/>
                <w:sz w:val="19"/>
                <w:szCs w:val="19"/>
              </w:rPr>
              <w:t>救助</w:t>
            </w:r>
          </w:p>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类别</w:t>
            </w:r>
          </w:p>
        </w:tc>
        <w:tc>
          <w:tcPr>
            <w:tcW w:w="684"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保障</w:t>
            </w:r>
          </w:p>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金额</w:t>
            </w:r>
          </w:p>
        </w:tc>
        <w:tc>
          <w:tcPr>
            <w:tcW w:w="684" w:type="dxa"/>
            <w:vMerge w:val="restart"/>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致困   原因</w:t>
            </w:r>
          </w:p>
        </w:tc>
        <w:tc>
          <w:tcPr>
            <w:tcW w:w="1704" w:type="dxa"/>
            <w:gridSpan w:val="2"/>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入户核查结果</w:t>
            </w:r>
          </w:p>
        </w:tc>
        <w:tc>
          <w:tcPr>
            <w:tcW w:w="1248"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84" w:type="dxa"/>
            <w:bottom w:w="0" w:type="dxa"/>
            <w:right w:w="84" w:type="dxa"/>
          </w:tblCellMar>
        </w:tblPrEx>
        <w:trPr>
          <w:trHeight w:val="409" w:hRule="atLeast"/>
        </w:trPr>
        <w:tc>
          <w:tcPr>
            <w:tcW w:w="31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bottom w:w="12" w:type="dxa"/>
              <w:right w:w="12" w:type="dxa"/>
            </w:tcMar>
            <w:vAlign w:val="center"/>
          </w:tcPr>
          <w:p>
            <w:pPr>
              <w:rPr>
                <w:rFonts w:hint="default" w:ascii="sans-serif" w:hAnsi="sans-serif" w:eastAsia="sans-serif" w:cs="sans-serif"/>
                <w:i w:val="0"/>
                <w:iCs w:val="0"/>
                <w:caps w:val="0"/>
                <w:color w:val="000000"/>
                <w:spacing w:val="0"/>
                <w:sz w:val="19"/>
                <w:szCs w:val="19"/>
              </w:rPr>
            </w:pPr>
          </w:p>
        </w:tc>
        <w:tc>
          <w:tcPr>
            <w:tcW w:w="600" w:type="dxa"/>
            <w:vMerge w:val="continue"/>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rPr>
                <w:rFonts w:hint="default" w:ascii="sans-serif" w:hAnsi="sans-serif" w:eastAsia="sans-serif" w:cs="sans-serif"/>
                <w:i w:val="0"/>
                <w:iCs w:val="0"/>
                <w:caps w:val="0"/>
                <w:color w:val="000000"/>
                <w:spacing w:val="0"/>
                <w:sz w:val="19"/>
                <w:szCs w:val="19"/>
              </w:rPr>
            </w:pPr>
          </w:p>
        </w:tc>
        <w:tc>
          <w:tcPr>
            <w:tcW w:w="1584" w:type="dxa"/>
            <w:vMerge w:val="continue"/>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rPr>
                <w:rFonts w:hint="default" w:ascii="sans-serif" w:hAnsi="sans-serif" w:eastAsia="sans-serif" w:cs="sans-serif"/>
                <w:i w:val="0"/>
                <w:iCs w:val="0"/>
                <w:caps w:val="0"/>
                <w:color w:val="000000"/>
                <w:spacing w:val="0"/>
                <w:sz w:val="19"/>
                <w:szCs w:val="19"/>
              </w:rPr>
            </w:pPr>
          </w:p>
        </w:tc>
        <w:tc>
          <w:tcPr>
            <w:tcW w:w="564" w:type="dxa"/>
            <w:vMerge w:val="continue"/>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rPr>
                <w:rFonts w:hint="default" w:ascii="sans-serif" w:hAnsi="sans-serif" w:eastAsia="sans-serif" w:cs="sans-serif"/>
                <w:i w:val="0"/>
                <w:iCs w:val="0"/>
                <w:caps w:val="0"/>
                <w:color w:val="000000"/>
                <w:spacing w:val="0"/>
                <w:sz w:val="19"/>
                <w:szCs w:val="19"/>
              </w:rPr>
            </w:pPr>
          </w:p>
        </w:tc>
        <w:tc>
          <w:tcPr>
            <w:tcW w:w="792" w:type="dxa"/>
            <w:vMerge w:val="continue"/>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rPr>
                <w:rFonts w:hint="default" w:ascii="sans-serif" w:hAnsi="sans-serif" w:eastAsia="sans-serif" w:cs="sans-serif"/>
                <w:i w:val="0"/>
                <w:iCs w:val="0"/>
                <w:caps w:val="0"/>
                <w:color w:val="000000"/>
                <w:spacing w:val="0"/>
                <w:sz w:val="19"/>
                <w:szCs w:val="19"/>
              </w:rPr>
            </w:pPr>
          </w:p>
        </w:tc>
        <w:tc>
          <w:tcPr>
            <w:tcW w:w="792" w:type="dxa"/>
            <w:vMerge w:val="continue"/>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rPr>
                <w:rFonts w:hint="default" w:ascii="sans-serif" w:hAnsi="sans-serif" w:eastAsia="sans-serif" w:cs="sans-serif"/>
                <w:i w:val="0"/>
                <w:iCs w:val="0"/>
                <w:caps w:val="0"/>
                <w:color w:val="000000"/>
                <w:spacing w:val="0"/>
                <w:sz w:val="19"/>
                <w:szCs w:val="19"/>
              </w:rPr>
            </w:pPr>
          </w:p>
        </w:tc>
        <w:tc>
          <w:tcPr>
            <w:tcW w:w="564" w:type="dxa"/>
            <w:vMerge w:val="continue"/>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rPr>
                <w:rFonts w:hint="default" w:ascii="sans-serif" w:hAnsi="sans-serif" w:eastAsia="sans-serif" w:cs="sans-serif"/>
                <w:i w:val="0"/>
                <w:iCs w:val="0"/>
                <w:caps w:val="0"/>
                <w:color w:val="000000"/>
                <w:spacing w:val="0"/>
                <w:sz w:val="19"/>
                <w:szCs w:val="19"/>
              </w:rPr>
            </w:pPr>
          </w:p>
        </w:tc>
        <w:tc>
          <w:tcPr>
            <w:tcW w:w="792" w:type="dxa"/>
            <w:vMerge w:val="continue"/>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rPr>
                <w:rFonts w:hint="default" w:ascii="sans-serif" w:hAnsi="sans-serif" w:eastAsia="sans-serif" w:cs="sans-serif"/>
                <w:i w:val="0"/>
                <w:iCs w:val="0"/>
                <w:caps w:val="0"/>
                <w:color w:val="000000"/>
                <w:spacing w:val="0"/>
                <w:sz w:val="19"/>
                <w:szCs w:val="19"/>
              </w:rPr>
            </w:pPr>
          </w:p>
        </w:tc>
        <w:tc>
          <w:tcPr>
            <w:tcW w:w="792" w:type="dxa"/>
            <w:vMerge w:val="continue"/>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rPr>
                <w:rFonts w:hint="default" w:ascii="sans-serif" w:hAnsi="sans-serif" w:eastAsia="sans-serif" w:cs="sans-serif"/>
                <w:i w:val="0"/>
                <w:iCs w:val="0"/>
                <w:caps w:val="0"/>
                <w:color w:val="000000"/>
                <w:spacing w:val="0"/>
                <w:sz w:val="19"/>
                <w:szCs w:val="19"/>
              </w:rPr>
            </w:pPr>
          </w:p>
        </w:tc>
        <w:tc>
          <w:tcPr>
            <w:tcW w:w="684" w:type="dxa"/>
            <w:vMerge w:val="continue"/>
            <w:tcBorders>
              <w:top w:val="single" w:color="000000" w:sz="4" w:space="0"/>
              <w:left w:val="nil"/>
              <w:bottom w:val="single" w:color="000000" w:sz="4" w:space="0"/>
              <w:right w:val="single" w:color="000000" w:sz="4" w:space="0"/>
            </w:tcBorders>
            <w:shd w:val="clear"/>
            <w:vAlign w:val="center"/>
          </w:tcPr>
          <w:p>
            <w:pPr>
              <w:rPr>
                <w:rFonts w:hint="default" w:ascii="sans-serif" w:hAnsi="sans-serif" w:eastAsia="sans-serif" w:cs="sans-serif"/>
                <w:i w:val="0"/>
                <w:iCs w:val="0"/>
                <w:caps w:val="0"/>
                <w:color w:val="000000"/>
                <w:spacing w:val="0"/>
                <w:sz w:val="19"/>
                <w:szCs w:val="19"/>
              </w:rPr>
            </w:pPr>
          </w:p>
        </w:tc>
        <w:tc>
          <w:tcPr>
            <w:tcW w:w="684" w:type="dxa"/>
            <w:vMerge w:val="continue"/>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rPr>
                <w:rFonts w:hint="default" w:ascii="sans-serif" w:hAnsi="sans-serif" w:eastAsia="sans-serif" w:cs="sans-serif"/>
                <w:i w:val="0"/>
                <w:iCs w:val="0"/>
                <w:caps w:val="0"/>
                <w:color w:val="000000"/>
                <w:spacing w:val="0"/>
                <w:sz w:val="19"/>
                <w:szCs w:val="19"/>
              </w:rPr>
            </w:pPr>
          </w:p>
        </w:tc>
        <w:tc>
          <w:tcPr>
            <w:tcW w:w="1020"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调查结果</w:t>
            </w:r>
          </w:p>
          <w:p>
            <w:pPr>
              <w:pStyle w:val="2"/>
              <w:keepNext w:val="0"/>
              <w:keepLines w:val="0"/>
              <w:widowControl/>
              <w:suppressLineNumbers w:val="0"/>
              <w:wordWrap w:val="0"/>
              <w:spacing w:before="60" w:beforeAutospacing="0" w:after="60" w:afterAutospacing="0"/>
              <w:ind w:left="0" w:right="0"/>
              <w:jc w:val="center"/>
              <w:textAlignment w:val="center"/>
            </w:pPr>
            <w:r>
              <w:rPr>
                <w:rFonts w:hint="eastAsia" w:ascii="仿宋" w:hAnsi="仿宋" w:eastAsia="仿宋" w:cs="仿宋"/>
                <w:i w:val="0"/>
                <w:iCs w:val="0"/>
                <w:caps w:val="0"/>
                <w:color w:val="000000"/>
                <w:spacing w:val="0"/>
                <w:sz w:val="19"/>
                <w:szCs w:val="19"/>
              </w:rPr>
              <w:t>（是否符合）</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eastAsia" w:ascii="仿宋" w:hAnsi="仿宋" w:eastAsia="仿宋" w:cs="仿宋"/>
                <w:i w:val="0"/>
                <w:iCs w:val="0"/>
                <w:caps w:val="0"/>
                <w:color w:val="000000"/>
                <w:spacing w:val="0"/>
                <w:sz w:val="19"/>
                <w:szCs w:val="19"/>
              </w:rPr>
              <w:t>调查人</w:t>
            </w:r>
          </w:p>
        </w:tc>
        <w:tc>
          <w:tcPr>
            <w:tcW w:w="1248" w:type="dxa"/>
            <w:vMerge w:val="continue"/>
            <w:tcBorders>
              <w:top w:val="single" w:color="000000" w:sz="4" w:space="0"/>
              <w:left w:val="nil"/>
              <w:bottom w:val="single" w:color="000000" w:sz="4" w:space="0"/>
              <w:right w:val="single" w:color="000000" w:sz="4" w:space="0"/>
            </w:tcBorders>
            <w:shd w:val="clear"/>
            <w:vAlign w:val="center"/>
          </w:tcPr>
          <w:p>
            <w:pPr>
              <w:rPr>
                <w:rFonts w:hint="default" w:ascii="sans-serif" w:hAnsi="sans-serif" w:eastAsia="sans-serif" w:cs="sans-serif"/>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84" w:type="dxa"/>
            <w:bottom w:w="0" w:type="dxa"/>
            <w:right w:w="84" w:type="dxa"/>
          </w:tblCellMar>
        </w:tblPrEx>
        <w:trPr>
          <w:trHeight w:val="529" w:hRule="atLeast"/>
        </w:trPr>
        <w:tc>
          <w:tcPr>
            <w:tcW w:w="312" w:type="dxa"/>
            <w:tcBorders>
              <w:top w:val="nil"/>
              <w:left w:val="single" w:color="000000" w:sz="4" w:space="0"/>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eastAsia" w:ascii="宋体" w:hAnsi="宋体" w:eastAsia="宋体" w:cs="宋体"/>
                <w:i w:val="0"/>
                <w:iCs w:val="0"/>
                <w:caps w:val="0"/>
                <w:color w:val="000000"/>
                <w:spacing w:val="0"/>
                <w:sz w:val="19"/>
                <w:szCs w:val="19"/>
              </w:rPr>
              <w:t> </w:t>
            </w:r>
          </w:p>
        </w:tc>
        <w:tc>
          <w:tcPr>
            <w:tcW w:w="600"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15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56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56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1020"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124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i w:val="0"/>
                <w:iCs w:val="0"/>
                <w:caps w:val="0"/>
                <w:color w:val="000000"/>
                <w:spacing w:val="0"/>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84" w:type="dxa"/>
            <w:bottom w:w="0" w:type="dxa"/>
            <w:right w:w="84" w:type="dxa"/>
          </w:tblCellMar>
        </w:tblPrEx>
        <w:trPr>
          <w:trHeight w:val="540" w:hRule="atLeast"/>
        </w:trPr>
        <w:tc>
          <w:tcPr>
            <w:tcW w:w="312" w:type="dxa"/>
            <w:tcBorders>
              <w:top w:val="nil"/>
              <w:left w:val="single" w:color="000000" w:sz="4" w:space="0"/>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eastAsia" w:ascii="宋体" w:hAnsi="宋体" w:eastAsia="宋体" w:cs="宋体"/>
                <w:i w:val="0"/>
                <w:iCs w:val="0"/>
                <w:caps w:val="0"/>
                <w:color w:val="000000"/>
                <w:spacing w:val="0"/>
                <w:sz w:val="19"/>
                <w:szCs w:val="19"/>
              </w:rPr>
              <w:t> </w:t>
            </w:r>
          </w:p>
        </w:tc>
        <w:tc>
          <w:tcPr>
            <w:tcW w:w="600"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15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56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56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1020"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124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i w:val="0"/>
                <w:iCs w:val="0"/>
                <w:caps w:val="0"/>
                <w:color w:val="000000"/>
                <w:spacing w:val="0"/>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84" w:type="dxa"/>
            <w:bottom w:w="0" w:type="dxa"/>
            <w:right w:w="84" w:type="dxa"/>
          </w:tblCellMar>
        </w:tblPrEx>
        <w:trPr>
          <w:trHeight w:val="553" w:hRule="atLeast"/>
        </w:trPr>
        <w:tc>
          <w:tcPr>
            <w:tcW w:w="312" w:type="dxa"/>
            <w:tcBorders>
              <w:top w:val="nil"/>
              <w:left w:val="single" w:color="000000" w:sz="4" w:space="0"/>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eastAsia" w:ascii="宋体" w:hAnsi="宋体" w:eastAsia="宋体" w:cs="宋体"/>
                <w:i w:val="0"/>
                <w:iCs w:val="0"/>
                <w:caps w:val="0"/>
                <w:color w:val="000000"/>
                <w:spacing w:val="0"/>
                <w:sz w:val="19"/>
                <w:szCs w:val="19"/>
              </w:rPr>
              <w:t> </w:t>
            </w:r>
          </w:p>
        </w:tc>
        <w:tc>
          <w:tcPr>
            <w:tcW w:w="600"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15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56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56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1020"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124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i w:val="0"/>
                <w:iCs w:val="0"/>
                <w:caps w:val="0"/>
                <w:color w:val="000000"/>
                <w:spacing w:val="0"/>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84" w:type="dxa"/>
            <w:bottom w:w="0" w:type="dxa"/>
            <w:right w:w="84" w:type="dxa"/>
          </w:tblCellMar>
        </w:tblPrEx>
        <w:trPr>
          <w:trHeight w:val="576" w:hRule="atLeast"/>
        </w:trPr>
        <w:tc>
          <w:tcPr>
            <w:tcW w:w="312" w:type="dxa"/>
            <w:tcBorders>
              <w:top w:val="nil"/>
              <w:left w:val="single" w:color="000000" w:sz="4" w:space="0"/>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eastAsia" w:ascii="宋体" w:hAnsi="宋体" w:eastAsia="宋体" w:cs="宋体"/>
                <w:i w:val="0"/>
                <w:iCs w:val="0"/>
                <w:caps w:val="0"/>
                <w:color w:val="000000"/>
                <w:spacing w:val="0"/>
                <w:sz w:val="19"/>
                <w:szCs w:val="19"/>
              </w:rPr>
              <w:t> </w:t>
            </w:r>
          </w:p>
        </w:tc>
        <w:tc>
          <w:tcPr>
            <w:tcW w:w="600"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15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56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56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1020"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124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i w:val="0"/>
                <w:iCs w:val="0"/>
                <w:caps w:val="0"/>
                <w:color w:val="000000"/>
                <w:spacing w:val="0"/>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4" w:type="dxa"/>
            <w:bottom w:w="0" w:type="dxa"/>
            <w:right w:w="84" w:type="dxa"/>
          </w:tblCellMar>
        </w:tblPrEx>
        <w:trPr>
          <w:trHeight w:val="589" w:hRule="atLeast"/>
        </w:trPr>
        <w:tc>
          <w:tcPr>
            <w:tcW w:w="312" w:type="dxa"/>
            <w:tcBorders>
              <w:top w:val="nil"/>
              <w:left w:val="single" w:color="000000" w:sz="4" w:space="0"/>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eastAsia" w:ascii="宋体" w:hAnsi="宋体" w:eastAsia="宋体" w:cs="宋体"/>
                <w:i w:val="0"/>
                <w:iCs w:val="0"/>
                <w:caps w:val="0"/>
                <w:color w:val="000000"/>
                <w:spacing w:val="0"/>
                <w:sz w:val="19"/>
                <w:szCs w:val="19"/>
              </w:rPr>
              <w:t> </w:t>
            </w:r>
          </w:p>
        </w:tc>
        <w:tc>
          <w:tcPr>
            <w:tcW w:w="600"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15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56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56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1020"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124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i w:val="0"/>
                <w:iCs w:val="0"/>
                <w:caps w:val="0"/>
                <w:color w:val="000000"/>
                <w:spacing w:val="0"/>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4" w:type="dxa"/>
            <w:bottom w:w="0" w:type="dxa"/>
            <w:right w:w="84" w:type="dxa"/>
          </w:tblCellMar>
        </w:tblPrEx>
        <w:trPr>
          <w:trHeight w:val="493" w:hRule="atLeast"/>
        </w:trPr>
        <w:tc>
          <w:tcPr>
            <w:tcW w:w="312" w:type="dxa"/>
            <w:tcBorders>
              <w:top w:val="nil"/>
              <w:left w:val="single" w:color="000000" w:sz="4" w:space="0"/>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eastAsia" w:ascii="宋体" w:hAnsi="宋体" w:eastAsia="宋体" w:cs="宋体"/>
                <w:i w:val="0"/>
                <w:iCs w:val="0"/>
                <w:caps w:val="0"/>
                <w:color w:val="000000"/>
                <w:spacing w:val="0"/>
                <w:sz w:val="19"/>
                <w:szCs w:val="19"/>
              </w:rPr>
              <w:t> </w:t>
            </w:r>
          </w:p>
        </w:tc>
        <w:tc>
          <w:tcPr>
            <w:tcW w:w="600"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15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56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56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top"/>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1020"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宋体" w:hAnsi="宋体" w:eastAsia="宋体" w:cs="宋体"/>
                <w:i w:val="0"/>
                <w:iCs w:val="0"/>
                <w:caps w:val="0"/>
                <w:color w:val="000000"/>
                <w:spacing w:val="0"/>
                <w:sz w:val="19"/>
                <w:szCs w:val="19"/>
              </w:rPr>
              <w:t> </w:t>
            </w:r>
          </w:p>
        </w:tc>
        <w:tc>
          <w:tcPr>
            <w:tcW w:w="1248"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pPr>
            <w:r>
              <w:rPr>
                <w:rFonts w:hint="eastAsia" w:ascii="宋体" w:hAnsi="宋体" w:eastAsia="宋体" w:cs="宋体"/>
                <w:i w:val="0"/>
                <w:iCs w:val="0"/>
                <w:caps w:val="0"/>
                <w:color w:val="000000"/>
                <w:spacing w:val="0"/>
                <w:sz w:val="19"/>
                <w:szCs w:val="19"/>
              </w:rPr>
              <w:t> </w:t>
            </w:r>
          </w:p>
        </w:tc>
      </w:tr>
    </w:tbl>
    <w:p>
      <w:pPr>
        <w:pStyle w:val="2"/>
        <w:keepNext w:val="0"/>
        <w:keepLines w:val="0"/>
        <w:widowControl/>
        <w:suppressLineNumbers w:val="0"/>
        <w:spacing w:before="60" w:beforeAutospacing="0" w:after="60" w:afterAutospacing="0"/>
        <w:ind w:left="0" w:right="0" w:firstLine="0"/>
        <w:rPr>
          <w:rStyle w:val="5"/>
          <w:rFonts w:hint="eastAsia" w:ascii="宋体" w:hAnsi="宋体" w:eastAsia="宋体" w:cs="宋体"/>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Style w:val="5"/>
          <w:rFonts w:hint="eastAsia" w:ascii="宋体" w:hAnsi="宋体" w:eastAsia="宋体" w:cs="宋体"/>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Style w:val="5"/>
          <w:rFonts w:hint="eastAsia" w:ascii="宋体" w:hAnsi="宋体" w:eastAsia="宋体" w:cs="宋体"/>
          <w:i w:val="0"/>
          <w:iCs w:val="0"/>
          <w:caps w:val="0"/>
          <w:color w:val="000000"/>
          <w:spacing w:val="0"/>
          <w:sz w:val="19"/>
          <w:szCs w:val="19"/>
        </w:rPr>
      </w:pPr>
      <w:r>
        <w:rPr>
          <w:rStyle w:val="5"/>
          <w:rFonts w:hint="eastAsia" w:ascii="宋体" w:hAnsi="宋体" w:eastAsia="宋体" w:cs="宋体"/>
          <w:i w:val="0"/>
          <w:iCs w:val="0"/>
          <w:caps w:val="0"/>
          <w:color w:val="000000"/>
          <w:spacing w:val="0"/>
          <w:sz w:val="19"/>
          <w:szCs w:val="19"/>
        </w:rPr>
        <w:t>注：备注栏中写明以下情况：</w:t>
      </w:r>
      <w:r>
        <w:rPr>
          <w:rStyle w:val="5"/>
          <w:rFonts w:hint="default" w:ascii="sans-serif" w:hAnsi="sans-serif" w:eastAsia="sans-serif" w:cs="sans-serif"/>
          <w:i w:val="0"/>
          <w:iCs w:val="0"/>
          <w:caps w:val="0"/>
          <w:color w:val="000000"/>
          <w:spacing w:val="0"/>
          <w:sz w:val="19"/>
          <w:szCs w:val="19"/>
        </w:rPr>
        <w:t>1</w:t>
      </w:r>
      <w:r>
        <w:rPr>
          <w:rStyle w:val="5"/>
          <w:rFonts w:hint="eastAsia" w:ascii="宋体" w:hAnsi="宋体" w:eastAsia="宋体" w:cs="宋体"/>
          <w:i w:val="0"/>
          <w:iCs w:val="0"/>
          <w:caps w:val="0"/>
          <w:color w:val="000000"/>
          <w:spacing w:val="0"/>
          <w:sz w:val="19"/>
          <w:szCs w:val="19"/>
        </w:rPr>
        <w:t>、除享受城乡低保、低收入、特困供养等救助政策外，是否还享受其他救助政策；</w:t>
      </w:r>
      <w:r>
        <w:rPr>
          <w:rStyle w:val="5"/>
          <w:rFonts w:hint="default" w:ascii="sans-serif" w:hAnsi="sans-serif" w:eastAsia="sans-serif" w:cs="sans-serif"/>
          <w:i w:val="0"/>
          <w:iCs w:val="0"/>
          <w:caps w:val="0"/>
          <w:color w:val="000000"/>
          <w:spacing w:val="0"/>
          <w:sz w:val="19"/>
          <w:szCs w:val="19"/>
        </w:rPr>
        <w:t>2</w:t>
      </w:r>
      <w:r>
        <w:rPr>
          <w:rStyle w:val="5"/>
          <w:rFonts w:hint="eastAsia" w:ascii="宋体" w:hAnsi="宋体" w:eastAsia="宋体" w:cs="宋体"/>
          <w:i w:val="0"/>
          <w:iCs w:val="0"/>
          <w:caps w:val="0"/>
          <w:color w:val="000000"/>
          <w:spacing w:val="0"/>
          <w:sz w:val="19"/>
          <w:szCs w:val="19"/>
        </w:rPr>
        <w:t>、救助政策保障后是否仍有困难；</w:t>
      </w:r>
      <w:r>
        <w:rPr>
          <w:rStyle w:val="5"/>
          <w:rFonts w:hint="default" w:ascii="sans-serif" w:hAnsi="sans-serif" w:eastAsia="sans-serif" w:cs="sans-serif"/>
          <w:i w:val="0"/>
          <w:iCs w:val="0"/>
          <w:caps w:val="0"/>
          <w:color w:val="000000"/>
          <w:spacing w:val="0"/>
          <w:sz w:val="19"/>
          <w:szCs w:val="19"/>
        </w:rPr>
        <w:t>3</w:t>
      </w:r>
      <w:r>
        <w:rPr>
          <w:rStyle w:val="5"/>
          <w:rFonts w:hint="eastAsia" w:ascii="宋体" w:hAnsi="宋体" w:eastAsia="宋体" w:cs="宋体"/>
          <w:i w:val="0"/>
          <w:iCs w:val="0"/>
          <w:caps w:val="0"/>
          <w:color w:val="000000"/>
          <w:spacing w:val="0"/>
          <w:sz w:val="19"/>
          <w:szCs w:val="19"/>
        </w:rPr>
        <w:t>、是否存在近亲属享受社会救助的情况。</w:t>
      </w:r>
    </w:p>
    <w:p>
      <w:pPr>
        <w:pStyle w:val="2"/>
        <w:keepNext w:val="0"/>
        <w:keepLines w:val="0"/>
        <w:widowControl/>
        <w:suppressLineNumbers w:val="0"/>
        <w:spacing w:before="60" w:beforeAutospacing="0" w:after="60" w:afterAutospacing="0"/>
        <w:ind w:left="0" w:right="0" w:firstLine="0"/>
        <w:rPr>
          <w:rStyle w:val="5"/>
          <w:rFonts w:hint="eastAsia" w:ascii="宋体" w:hAnsi="宋体" w:eastAsia="宋体" w:cs="宋体"/>
          <w:i w:val="0"/>
          <w:iCs w:val="0"/>
          <w:caps w:val="0"/>
          <w:color w:val="000000"/>
          <w:spacing w:val="0"/>
          <w:sz w:val="19"/>
          <w:szCs w:val="19"/>
        </w:rPr>
      </w:pPr>
      <w:bookmarkStart w:id="0" w:name="_GoBack"/>
      <w:bookmarkEnd w:id="0"/>
    </w:p>
    <w:p>
      <w:pPr>
        <w:pStyle w:val="2"/>
        <w:keepNext w:val="0"/>
        <w:keepLines w:val="0"/>
        <w:widowControl/>
        <w:suppressLineNumbers w:val="0"/>
        <w:spacing w:before="60" w:beforeAutospacing="0" w:after="60" w:afterAutospacing="0"/>
        <w:ind w:left="0" w:right="0" w:firstLine="0"/>
        <w:rPr>
          <w:rStyle w:val="5"/>
          <w:rFonts w:hint="eastAsia" w:ascii="宋体" w:hAnsi="宋体" w:eastAsia="宋体" w:cs="宋体"/>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Style w:val="5"/>
          <w:rFonts w:hint="eastAsia" w:ascii="宋体" w:hAnsi="宋体" w:eastAsia="宋体" w:cs="宋体"/>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Style w:val="5"/>
          <w:rFonts w:hint="eastAsia" w:ascii="宋体" w:hAnsi="宋体" w:eastAsia="宋体" w:cs="宋体"/>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Style w:val="5"/>
          <w:rFonts w:hint="eastAsia" w:ascii="宋体" w:hAnsi="宋体" w:eastAsia="宋体" w:cs="宋体"/>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Style w:val="5"/>
          <w:rFonts w:hint="eastAsia" w:ascii="宋体" w:hAnsi="宋体" w:eastAsia="宋体" w:cs="宋体"/>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Style w:val="5"/>
          <w:rFonts w:hint="eastAsia" w:ascii="宋体" w:hAnsi="宋体" w:eastAsia="宋体" w:cs="宋体"/>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Style w:val="5"/>
          <w:rFonts w:hint="eastAsia" w:ascii="宋体" w:hAnsi="宋体" w:eastAsia="宋体" w:cs="宋体"/>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Style w:val="5"/>
          <w:rFonts w:hint="eastAsia" w:ascii="宋体" w:hAnsi="宋体" w:eastAsia="宋体" w:cs="宋体"/>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Style w:val="5"/>
          <w:rFonts w:hint="eastAsia" w:ascii="宋体" w:hAnsi="宋体" w:eastAsia="宋体" w:cs="宋体"/>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Style w:val="5"/>
          <w:rFonts w:hint="default" w:ascii="宋体" w:hAnsi="宋体" w:eastAsia="宋体" w:cs="宋体"/>
          <w:i w:val="0"/>
          <w:iCs w:val="0"/>
          <w:caps w:val="0"/>
          <w:color w:val="000000"/>
          <w:spacing w:val="0"/>
          <w:sz w:val="19"/>
          <w:szCs w:val="19"/>
        </w:rPr>
      </w:pPr>
    </w:p>
    <w:tbl>
      <w:tblPr>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84" w:type="dxa"/>
          <w:bottom w:w="0" w:type="dxa"/>
          <w:right w:w="84" w:type="dxa"/>
        </w:tblCellMar>
      </w:tblPr>
      <w:tblGrid>
        <w:gridCol w:w="8120"/>
        <w:gridCol w:w="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84" w:type="dxa"/>
            <w:bottom w:w="0" w:type="dxa"/>
            <w:right w:w="84" w:type="dxa"/>
          </w:tblCellMar>
        </w:tblPrEx>
        <w:trPr>
          <w:trHeight w:val="505" w:hRule="atLeast"/>
        </w:trPr>
        <w:tc>
          <w:tcPr>
            <w:tcW w:w="11796" w:type="dxa"/>
            <w:vMerge w:val="restart"/>
            <w:tcBorders>
              <w:top w:val="nil"/>
              <w:left w:val="nil"/>
              <w:bottom w:val="nil"/>
              <w:right w:val="nil"/>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left"/>
              <w:textAlignment w:val="center"/>
            </w:pPr>
            <w:r>
              <w:rPr>
                <w:rFonts w:hint="eastAsia" w:ascii="黑体" w:hAnsi="宋体" w:eastAsia="黑体" w:cs="黑体"/>
                <w:i w:val="0"/>
                <w:iCs w:val="0"/>
                <w:caps w:val="0"/>
                <w:color w:val="000000"/>
                <w:spacing w:val="0"/>
                <w:sz w:val="25"/>
                <w:szCs w:val="25"/>
              </w:rPr>
              <w:t>附件2</w:t>
            </w:r>
          </w:p>
          <w:p>
            <w:pPr>
              <w:pStyle w:val="2"/>
              <w:keepNext w:val="0"/>
              <w:keepLines w:val="0"/>
              <w:widowControl/>
              <w:suppressLineNumbers w:val="0"/>
              <w:wordWrap w:val="0"/>
              <w:spacing w:before="60" w:beforeAutospacing="0" w:after="60" w:afterAutospacing="0" w:line="444" w:lineRule="atLeast"/>
              <w:ind w:left="0" w:right="0"/>
              <w:jc w:val="center"/>
              <w:textAlignment w:val="center"/>
            </w:pPr>
            <w:r>
              <w:rPr>
                <w:rFonts w:hint="eastAsia" w:ascii="方正小标宋简体" w:hAnsi="方正小标宋简体" w:eastAsia="方正小标宋简体" w:cs="方正小标宋简体"/>
                <w:i w:val="0"/>
                <w:iCs w:val="0"/>
                <w:caps w:val="0"/>
                <w:color w:val="000000"/>
                <w:spacing w:val="0"/>
                <w:sz w:val="34"/>
                <w:szCs w:val="34"/>
              </w:rPr>
              <w:t>滨海新区社会救助家庭排查情况统计表（2018年申请社会救助审批未通过）</w:t>
            </w:r>
          </w:p>
        </w:tc>
        <w:tc>
          <w:tcPr>
            <w:tcW w:w="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sans-serif" w:hAnsi="sans-serif" w:eastAsia="sans-serif" w:cs="sans-serif"/>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4" w:type="dxa"/>
            <w:bottom w:w="0" w:type="dxa"/>
            <w:right w:w="84" w:type="dxa"/>
          </w:tblCellMar>
        </w:tblPrEx>
        <w:trPr>
          <w:trHeight w:val="505" w:hRule="atLeast"/>
        </w:trPr>
        <w:tc>
          <w:tcPr>
            <w:tcW w:w="11796" w:type="dxa"/>
            <w:vMerge w:val="continue"/>
            <w:tcBorders>
              <w:top w:val="nil"/>
              <w:left w:val="nil"/>
              <w:bottom w:val="nil"/>
              <w:right w:val="nil"/>
            </w:tcBorders>
            <w:shd w:val="clear"/>
            <w:tcMar>
              <w:top w:w="12" w:type="dxa"/>
              <w:left w:w="12" w:type="dxa"/>
              <w:bottom w:w="12" w:type="dxa"/>
              <w:right w:w="12" w:type="dxa"/>
            </w:tcMar>
            <w:vAlign w:val="center"/>
          </w:tcPr>
          <w:p>
            <w:pPr>
              <w:rPr>
                <w:rFonts w:hint="default" w:ascii="sans-serif" w:hAnsi="sans-serif" w:eastAsia="sans-serif" w:cs="sans-serif"/>
                <w:i w:val="0"/>
                <w:iCs w:val="0"/>
                <w:caps w:val="0"/>
                <w:color w:val="000000"/>
                <w:spacing w:val="0"/>
                <w:sz w:val="19"/>
                <w:szCs w:val="19"/>
              </w:rPr>
            </w:pPr>
          </w:p>
        </w:tc>
        <w:tc>
          <w:tcPr>
            <w:tcW w:w="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sans-serif" w:hAnsi="sans-serif" w:eastAsia="sans-serif" w:cs="sans-serif"/>
                <w:i w:val="0"/>
                <w:iCs w:val="0"/>
                <w:caps w:val="0"/>
                <w:color w:val="000000"/>
                <w:spacing w:val="0"/>
                <w:sz w:val="19"/>
                <w:szCs w:val="19"/>
              </w:rPr>
            </w:pPr>
          </w:p>
        </w:tc>
      </w:tr>
    </w:tbl>
    <w:p>
      <w:pPr>
        <w:rPr>
          <w:vanish/>
          <w:sz w:val="24"/>
          <w:szCs w:val="24"/>
        </w:rPr>
      </w:pPr>
    </w:p>
    <w:tbl>
      <w:tblPr>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84" w:type="dxa"/>
          <w:bottom w:w="0" w:type="dxa"/>
          <w:right w:w="84" w:type="dxa"/>
        </w:tblCellMar>
      </w:tblPr>
      <w:tblGrid>
        <w:gridCol w:w="270"/>
        <w:gridCol w:w="477"/>
        <w:gridCol w:w="1047"/>
        <w:gridCol w:w="524"/>
        <w:gridCol w:w="660"/>
        <w:gridCol w:w="660"/>
        <w:gridCol w:w="524"/>
        <w:gridCol w:w="524"/>
        <w:gridCol w:w="595"/>
        <w:gridCol w:w="469"/>
        <w:gridCol w:w="518"/>
        <w:gridCol w:w="978"/>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84" w:type="dxa"/>
            <w:bottom w:w="0" w:type="dxa"/>
            <w:right w:w="84" w:type="dxa"/>
          </w:tblCellMar>
        </w:tblPrEx>
        <w:trPr>
          <w:trHeight w:val="325" w:hRule="atLeast"/>
        </w:trPr>
        <w:tc>
          <w:tcPr>
            <w:tcW w:w="300"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序号</w:t>
            </w:r>
          </w:p>
        </w:tc>
        <w:tc>
          <w:tcPr>
            <w:tcW w:w="612" w:type="dxa"/>
            <w:vMerge w:val="restart"/>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申请人</w:t>
            </w:r>
          </w:p>
        </w:tc>
        <w:tc>
          <w:tcPr>
            <w:tcW w:w="1476" w:type="dxa"/>
            <w:vMerge w:val="restart"/>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身份证号</w:t>
            </w:r>
          </w:p>
        </w:tc>
        <w:tc>
          <w:tcPr>
            <w:tcW w:w="684" w:type="dxa"/>
            <w:vMerge w:val="restart"/>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家庭</w:t>
            </w:r>
          </w:p>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人口</w:t>
            </w:r>
          </w:p>
        </w:tc>
        <w:tc>
          <w:tcPr>
            <w:tcW w:w="792" w:type="dxa"/>
            <w:vMerge w:val="restart"/>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乡镇</w:t>
            </w:r>
          </w:p>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（街道）</w:t>
            </w:r>
          </w:p>
        </w:tc>
        <w:tc>
          <w:tcPr>
            <w:tcW w:w="792" w:type="dxa"/>
            <w:vMerge w:val="restart"/>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村</w:t>
            </w:r>
          </w:p>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（居委会）</w:t>
            </w:r>
          </w:p>
        </w:tc>
        <w:tc>
          <w:tcPr>
            <w:tcW w:w="684" w:type="dxa"/>
            <w:vMerge w:val="restart"/>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家庭</w:t>
            </w:r>
          </w:p>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收入</w:t>
            </w:r>
          </w:p>
        </w:tc>
        <w:tc>
          <w:tcPr>
            <w:tcW w:w="684" w:type="dxa"/>
            <w:vMerge w:val="restart"/>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家庭</w:t>
            </w:r>
          </w:p>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财产</w:t>
            </w:r>
          </w:p>
        </w:tc>
        <w:tc>
          <w:tcPr>
            <w:tcW w:w="792" w:type="dxa"/>
            <w:vMerge w:val="restart"/>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申请救助时间</w:t>
            </w:r>
          </w:p>
        </w:tc>
        <w:tc>
          <w:tcPr>
            <w:tcW w:w="600" w:type="dxa"/>
            <w:vMerge w:val="restart"/>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申请救助</w:t>
            </w:r>
          </w:p>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类别</w:t>
            </w:r>
          </w:p>
        </w:tc>
        <w:tc>
          <w:tcPr>
            <w:tcW w:w="600"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未批准救助原因</w:t>
            </w:r>
          </w:p>
        </w:tc>
        <w:tc>
          <w:tcPr>
            <w:tcW w:w="2604" w:type="dxa"/>
            <w:gridSpan w:val="2"/>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入户核查结果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4" w:type="dxa"/>
            <w:bottom w:w="0" w:type="dxa"/>
            <w:right w:w="84" w:type="dxa"/>
          </w:tblCellMar>
        </w:tblPrEx>
        <w:trPr>
          <w:trHeight w:val="805" w:hRule="atLeast"/>
        </w:trPr>
        <w:tc>
          <w:tcPr>
            <w:tcW w:w="30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bottom w:w="12" w:type="dxa"/>
              <w:right w:w="12" w:type="dxa"/>
            </w:tcMar>
            <w:vAlign w:val="center"/>
          </w:tcPr>
          <w:p>
            <w:pPr>
              <w:rPr>
                <w:rFonts w:hint="default" w:ascii="sans-serif" w:hAnsi="sans-serif" w:eastAsia="sans-serif" w:cs="sans-serif"/>
                <w:i w:val="0"/>
                <w:iCs w:val="0"/>
                <w:caps w:val="0"/>
                <w:color w:val="000000"/>
                <w:spacing w:val="0"/>
                <w:sz w:val="19"/>
                <w:szCs w:val="19"/>
              </w:rPr>
            </w:pPr>
          </w:p>
        </w:tc>
        <w:tc>
          <w:tcPr>
            <w:tcW w:w="612" w:type="dxa"/>
            <w:vMerge w:val="continue"/>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rPr>
                <w:rFonts w:hint="default" w:ascii="sans-serif" w:hAnsi="sans-serif" w:eastAsia="sans-serif" w:cs="sans-serif"/>
                <w:i w:val="0"/>
                <w:iCs w:val="0"/>
                <w:caps w:val="0"/>
                <w:color w:val="000000"/>
                <w:spacing w:val="0"/>
                <w:sz w:val="19"/>
                <w:szCs w:val="19"/>
              </w:rPr>
            </w:pPr>
          </w:p>
        </w:tc>
        <w:tc>
          <w:tcPr>
            <w:tcW w:w="1476" w:type="dxa"/>
            <w:vMerge w:val="continue"/>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rPr>
                <w:rFonts w:hint="default" w:ascii="sans-serif" w:hAnsi="sans-serif" w:eastAsia="sans-serif" w:cs="sans-serif"/>
                <w:i w:val="0"/>
                <w:iCs w:val="0"/>
                <w:caps w:val="0"/>
                <w:color w:val="000000"/>
                <w:spacing w:val="0"/>
                <w:sz w:val="19"/>
                <w:szCs w:val="19"/>
              </w:rPr>
            </w:pPr>
          </w:p>
        </w:tc>
        <w:tc>
          <w:tcPr>
            <w:tcW w:w="684" w:type="dxa"/>
            <w:vMerge w:val="continue"/>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rPr>
                <w:rFonts w:hint="default" w:ascii="sans-serif" w:hAnsi="sans-serif" w:eastAsia="sans-serif" w:cs="sans-serif"/>
                <w:i w:val="0"/>
                <w:iCs w:val="0"/>
                <w:caps w:val="0"/>
                <w:color w:val="000000"/>
                <w:spacing w:val="0"/>
                <w:sz w:val="19"/>
                <w:szCs w:val="19"/>
              </w:rPr>
            </w:pPr>
          </w:p>
        </w:tc>
        <w:tc>
          <w:tcPr>
            <w:tcW w:w="792" w:type="dxa"/>
            <w:vMerge w:val="continue"/>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rPr>
                <w:rFonts w:hint="default" w:ascii="sans-serif" w:hAnsi="sans-serif" w:eastAsia="sans-serif" w:cs="sans-serif"/>
                <w:i w:val="0"/>
                <w:iCs w:val="0"/>
                <w:caps w:val="0"/>
                <w:color w:val="000000"/>
                <w:spacing w:val="0"/>
                <w:sz w:val="19"/>
                <w:szCs w:val="19"/>
              </w:rPr>
            </w:pPr>
          </w:p>
        </w:tc>
        <w:tc>
          <w:tcPr>
            <w:tcW w:w="792" w:type="dxa"/>
            <w:vMerge w:val="continue"/>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rPr>
                <w:rFonts w:hint="default" w:ascii="sans-serif" w:hAnsi="sans-serif" w:eastAsia="sans-serif" w:cs="sans-serif"/>
                <w:i w:val="0"/>
                <w:iCs w:val="0"/>
                <w:caps w:val="0"/>
                <w:color w:val="000000"/>
                <w:spacing w:val="0"/>
                <w:sz w:val="19"/>
                <w:szCs w:val="19"/>
              </w:rPr>
            </w:pPr>
          </w:p>
        </w:tc>
        <w:tc>
          <w:tcPr>
            <w:tcW w:w="684" w:type="dxa"/>
            <w:vMerge w:val="continue"/>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rPr>
                <w:rFonts w:hint="default" w:ascii="sans-serif" w:hAnsi="sans-serif" w:eastAsia="sans-serif" w:cs="sans-serif"/>
                <w:i w:val="0"/>
                <w:iCs w:val="0"/>
                <w:caps w:val="0"/>
                <w:color w:val="000000"/>
                <w:spacing w:val="0"/>
                <w:sz w:val="19"/>
                <w:szCs w:val="19"/>
              </w:rPr>
            </w:pPr>
          </w:p>
        </w:tc>
        <w:tc>
          <w:tcPr>
            <w:tcW w:w="684" w:type="dxa"/>
            <w:vMerge w:val="continue"/>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rPr>
                <w:rFonts w:hint="default" w:ascii="sans-serif" w:hAnsi="sans-serif" w:eastAsia="sans-serif" w:cs="sans-serif"/>
                <w:i w:val="0"/>
                <w:iCs w:val="0"/>
                <w:caps w:val="0"/>
                <w:color w:val="000000"/>
                <w:spacing w:val="0"/>
                <w:sz w:val="19"/>
                <w:szCs w:val="19"/>
              </w:rPr>
            </w:pPr>
          </w:p>
        </w:tc>
        <w:tc>
          <w:tcPr>
            <w:tcW w:w="792" w:type="dxa"/>
            <w:vMerge w:val="continue"/>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rPr>
                <w:rFonts w:hint="default" w:ascii="sans-serif" w:hAnsi="sans-serif" w:eastAsia="sans-serif" w:cs="sans-serif"/>
                <w:i w:val="0"/>
                <w:iCs w:val="0"/>
                <w:caps w:val="0"/>
                <w:color w:val="000000"/>
                <w:spacing w:val="0"/>
                <w:sz w:val="19"/>
                <w:szCs w:val="19"/>
              </w:rPr>
            </w:pPr>
          </w:p>
        </w:tc>
        <w:tc>
          <w:tcPr>
            <w:tcW w:w="600" w:type="dxa"/>
            <w:vMerge w:val="continue"/>
            <w:tcBorders>
              <w:top w:val="single" w:color="000000" w:sz="4" w:space="0"/>
              <w:left w:val="nil"/>
              <w:bottom w:val="single" w:color="000000" w:sz="4" w:space="0"/>
              <w:right w:val="single" w:color="000000" w:sz="4" w:space="0"/>
            </w:tcBorders>
            <w:shd w:val="clear"/>
            <w:tcMar>
              <w:top w:w="12" w:type="dxa"/>
              <w:left w:w="12" w:type="dxa"/>
              <w:bottom w:w="12" w:type="dxa"/>
              <w:right w:w="12" w:type="dxa"/>
            </w:tcMar>
            <w:vAlign w:val="center"/>
          </w:tcPr>
          <w:p>
            <w:pPr>
              <w:rPr>
                <w:rFonts w:hint="default" w:ascii="sans-serif" w:hAnsi="sans-serif" w:eastAsia="sans-serif" w:cs="sans-serif"/>
                <w:i w:val="0"/>
                <w:iCs w:val="0"/>
                <w:caps w:val="0"/>
                <w:color w:val="000000"/>
                <w:spacing w:val="0"/>
                <w:sz w:val="19"/>
                <w:szCs w:val="19"/>
              </w:rPr>
            </w:pPr>
          </w:p>
        </w:tc>
        <w:tc>
          <w:tcPr>
            <w:tcW w:w="600" w:type="dxa"/>
            <w:vMerge w:val="continue"/>
            <w:tcBorders>
              <w:top w:val="single" w:color="000000" w:sz="4" w:space="0"/>
              <w:left w:val="nil"/>
              <w:bottom w:val="single" w:color="000000" w:sz="4" w:space="0"/>
              <w:right w:val="single" w:color="000000" w:sz="4" w:space="0"/>
            </w:tcBorders>
            <w:shd w:val="clear"/>
            <w:vAlign w:val="center"/>
          </w:tcPr>
          <w:p>
            <w:pPr>
              <w:rPr>
                <w:rFonts w:hint="default" w:ascii="sans-serif" w:hAnsi="sans-serif" w:eastAsia="sans-serif" w:cs="sans-serif"/>
                <w:i w:val="0"/>
                <w:iCs w:val="0"/>
                <w:caps w:val="0"/>
                <w:color w:val="000000"/>
                <w:spacing w:val="0"/>
                <w:sz w:val="19"/>
                <w:szCs w:val="19"/>
              </w:rPr>
            </w:pPr>
          </w:p>
        </w:tc>
        <w:tc>
          <w:tcPr>
            <w:tcW w:w="120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核查结果</w:t>
            </w:r>
          </w:p>
          <w:p>
            <w:pPr>
              <w:pStyle w:val="2"/>
              <w:keepNext w:val="0"/>
              <w:keepLines w:val="0"/>
              <w:widowControl/>
              <w:suppressLineNumbers w:val="0"/>
              <w:wordWrap w:val="0"/>
              <w:spacing w:before="60" w:beforeAutospacing="0" w:after="60" w:afterAutospacing="0"/>
              <w:ind w:left="0" w:right="0"/>
              <w:jc w:val="center"/>
              <w:textAlignment w:val="center"/>
            </w:pPr>
            <w:r>
              <w:rPr>
                <w:rFonts w:hint="eastAsia" w:ascii="仿宋" w:hAnsi="仿宋" w:eastAsia="仿宋" w:cs="仿宋"/>
                <w:i w:val="0"/>
                <w:iCs w:val="0"/>
                <w:caps w:val="0"/>
                <w:color w:val="000000"/>
                <w:spacing w:val="0"/>
                <w:sz w:val="19"/>
                <w:szCs w:val="19"/>
              </w:rPr>
              <w:t>（是否达到救助条件、并注明享受何种救助）</w:t>
            </w:r>
          </w:p>
        </w:tc>
        <w:tc>
          <w:tcPr>
            <w:tcW w:w="79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eastAsia" w:ascii="仿宋" w:hAnsi="仿宋" w:eastAsia="仿宋" w:cs="仿宋"/>
                <w:i w:val="0"/>
                <w:iCs w:val="0"/>
                <w:caps w:val="0"/>
                <w:color w:val="000000"/>
                <w:spacing w:val="0"/>
                <w:sz w:val="19"/>
                <w:szCs w:val="19"/>
              </w:rPr>
              <w:t>调查人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4" w:type="dxa"/>
            <w:bottom w:w="0" w:type="dxa"/>
            <w:right w:w="84" w:type="dxa"/>
          </w:tblCellMar>
        </w:tblPrEx>
        <w:trPr>
          <w:trHeight w:val="636" w:hRule="atLeast"/>
        </w:trPr>
        <w:tc>
          <w:tcPr>
            <w:tcW w:w="300" w:type="dxa"/>
            <w:tcBorders>
              <w:top w:val="nil"/>
              <w:left w:val="single" w:color="000000" w:sz="4" w:space="0"/>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 </w:t>
            </w:r>
          </w:p>
        </w:tc>
        <w:tc>
          <w:tcPr>
            <w:tcW w:w="61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1476"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00"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0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120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4" w:type="dxa"/>
            <w:bottom w:w="0" w:type="dxa"/>
            <w:right w:w="84" w:type="dxa"/>
          </w:tblCellMar>
        </w:tblPrEx>
        <w:trPr>
          <w:trHeight w:val="636" w:hRule="atLeast"/>
        </w:trPr>
        <w:tc>
          <w:tcPr>
            <w:tcW w:w="300" w:type="dxa"/>
            <w:tcBorders>
              <w:top w:val="nil"/>
              <w:left w:val="single" w:color="000000" w:sz="4" w:space="0"/>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 </w:t>
            </w:r>
          </w:p>
        </w:tc>
        <w:tc>
          <w:tcPr>
            <w:tcW w:w="61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1476"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00"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0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120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4" w:type="dxa"/>
            <w:bottom w:w="0" w:type="dxa"/>
            <w:right w:w="84" w:type="dxa"/>
          </w:tblCellMar>
        </w:tblPrEx>
        <w:trPr>
          <w:trHeight w:val="636" w:hRule="atLeast"/>
        </w:trPr>
        <w:tc>
          <w:tcPr>
            <w:tcW w:w="300" w:type="dxa"/>
            <w:tcBorders>
              <w:top w:val="nil"/>
              <w:left w:val="single" w:color="000000" w:sz="4" w:space="0"/>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 </w:t>
            </w:r>
          </w:p>
        </w:tc>
        <w:tc>
          <w:tcPr>
            <w:tcW w:w="61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1476"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00"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0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120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4" w:type="dxa"/>
            <w:bottom w:w="0" w:type="dxa"/>
            <w:right w:w="84" w:type="dxa"/>
          </w:tblCellMar>
        </w:tblPrEx>
        <w:trPr>
          <w:trHeight w:val="636" w:hRule="atLeast"/>
        </w:trPr>
        <w:tc>
          <w:tcPr>
            <w:tcW w:w="300" w:type="dxa"/>
            <w:tcBorders>
              <w:top w:val="nil"/>
              <w:left w:val="single" w:color="000000" w:sz="4" w:space="0"/>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 </w:t>
            </w:r>
          </w:p>
        </w:tc>
        <w:tc>
          <w:tcPr>
            <w:tcW w:w="61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1476"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00"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0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120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4" w:type="dxa"/>
            <w:bottom w:w="0" w:type="dxa"/>
            <w:right w:w="84" w:type="dxa"/>
          </w:tblCellMar>
        </w:tblPrEx>
        <w:trPr>
          <w:trHeight w:val="636" w:hRule="atLeast"/>
        </w:trPr>
        <w:tc>
          <w:tcPr>
            <w:tcW w:w="300" w:type="dxa"/>
            <w:tcBorders>
              <w:top w:val="nil"/>
              <w:left w:val="single" w:color="000000" w:sz="4" w:space="0"/>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 </w:t>
            </w:r>
          </w:p>
        </w:tc>
        <w:tc>
          <w:tcPr>
            <w:tcW w:w="61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1476"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00"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0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120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4" w:type="dxa"/>
            <w:bottom w:w="0" w:type="dxa"/>
            <w:right w:w="84" w:type="dxa"/>
          </w:tblCellMar>
        </w:tblPrEx>
        <w:trPr>
          <w:trHeight w:val="636" w:hRule="atLeast"/>
        </w:trPr>
        <w:tc>
          <w:tcPr>
            <w:tcW w:w="300" w:type="dxa"/>
            <w:tcBorders>
              <w:top w:val="nil"/>
              <w:left w:val="single" w:color="000000" w:sz="4" w:space="0"/>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textAlignment w:val="center"/>
            </w:pPr>
            <w:r>
              <w:rPr>
                <w:rFonts w:hint="default" w:ascii="Calibri" w:hAnsi="Calibri" w:eastAsia="Calibri" w:cs="Calibri"/>
                <w:i w:val="0"/>
                <w:iCs w:val="0"/>
                <w:caps w:val="0"/>
                <w:color w:val="000000"/>
                <w:spacing w:val="0"/>
                <w:sz w:val="19"/>
                <w:szCs w:val="19"/>
              </w:rPr>
              <w:t> </w:t>
            </w:r>
          </w:p>
        </w:tc>
        <w:tc>
          <w:tcPr>
            <w:tcW w:w="61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1476"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84"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00" w:type="dxa"/>
            <w:tcBorders>
              <w:top w:val="nil"/>
              <w:left w:val="nil"/>
              <w:bottom w:val="single" w:color="000000" w:sz="4" w:space="0"/>
              <w:right w:val="single" w:color="000000" w:sz="4" w:space="0"/>
            </w:tcBorders>
            <w:shd w:val="clear"/>
            <w:tcMar>
              <w:top w:w="12" w:type="dxa"/>
              <w:left w:w="12" w:type="dxa"/>
              <w:bottom w:w="12" w:type="dxa"/>
              <w:right w:w="12"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60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1200"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c>
          <w:tcPr>
            <w:tcW w:w="792" w:type="dxa"/>
            <w:tcBorders>
              <w:top w:val="nil"/>
              <w:left w:val="nil"/>
              <w:bottom w:val="single" w:color="000000" w:sz="4" w:space="0"/>
              <w:right w:val="single" w:color="000000" w:sz="4" w:space="0"/>
            </w:tcBorders>
            <w:shd w:val="clear"/>
            <w:vAlign w:val="top"/>
          </w:tcPr>
          <w:p>
            <w:pPr>
              <w:pStyle w:val="2"/>
              <w:keepNext w:val="0"/>
              <w:keepLines w:val="0"/>
              <w:widowControl/>
              <w:suppressLineNumbers w:val="0"/>
              <w:wordWrap w:val="0"/>
              <w:spacing w:before="60" w:beforeAutospacing="0" w:after="60" w:afterAutospacing="0"/>
              <w:ind w:left="0" w:right="0"/>
              <w:jc w:val="center"/>
            </w:pPr>
            <w:r>
              <w:rPr>
                <w:rFonts w:hint="default" w:ascii="Calibri" w:hAnsi="Calibri" w:eastAsia="Calibri" w:cs="Calibri"/>
                <w:i w:val="0"/>
                <w:iCs w:val="0"/>
                <w:caps w:val="0"/>
                <w:color w:val="000000"/>
                <w:spacing w:val="0"/>
                <w:sz w:val="19"/>
                <w:szCs w:val="19"/>
              </w:rPr>
              <w:t> </w:t>
            </w:r>
          </w:p>
        </w:tc>
      </w:tr>
    </w:tbl>
    <w:p>
      <w:pPr>
        <w:pStyle w:val="2"/>
        <w:keepNext w:val="0"/>
        <w:keepLines w:val="0"/>
        <w:widowControl/>
        <w:suppressLineNumbers w:val="0"/>
        <w:spacing w:before="60" w:beforeAutospacing="0" w:after="60" w:afterAutospacing="0"/>
        <w:ind w:left="0" w:right="0" w:firstLine="0"/>
        <w:jc w:val="left"/>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sz w:val="19"/>
          <w:szCs w:val="19"/>
        </w:rPr>
        <w:t> </w:t>
      </w: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636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2021-09-28T11:05:24Z</dcterms:created>
  <dc:creator>Administrator</dc:creator>
  <cp:lastModifiedBy>面面</cp:lastModifiedBy>
  <dcterms:modified xsi:type="dcterms:W3CDTF">2021-09-28T11:07:09Z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3BFE1D3A880D414EBEE8C753E32BCD88</vt:lpwstr>
  </property>
</Properties>
</file>