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关于印发《天津市滨海新区社会团体</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信息公开办法》的通知</w:t>
      </w:r>
    </w:p>
    <w:p>
      <w:pPr>
        <w:keepNext w:val="0"/>
        <w:keepLines w:val="0"/>
        <w:widowControl/>
        <w:suppressLineNumbers w:val="0"/>
        <w:spacing w:before="60" w:beforeAutospacing="0" w:after="60" w:afterAutospacing="0" w:line="468" w:lineRule="atLeast"/>
        <w:ind w:left="0" w:right="0"/>
        <w:jc w:val="left"/>
        <w:rPr>
          <w:rFonts w:ascii="仿宋_GB2312" w:hAnsi="仿宋_GB2312" w:eastAsia="仿宋_GB2312" w:cs="仿宋_GB2312"/>
          <w:kern w:val="0"/>
          <w:sz w:val="25"/>
          <w:szCs w:val="25"/>
          <w:lang w:val="en-US" w:eastAsia="zh-CN" w:bidi="ar"/>
        </w:rPr>
      </w:pPr>
    </w:p>
    <w:p>
      <w:pPr>
        <w:keepNext w:val="0"/>
        <w:keepLines w:val="0"/>
        <w:widowControl/>
        <w:suppressLineNumbers w:val="0"/>
        <w:spacing w:before="60" w:beforeAutospacing="0" w:after="60" w:afterAutospacing="0" w:line="468" w:lineRule="atLeast"/>
        <w:ind w:left="0" w:right="0"/>
        <w:jc w:val="left"/>
      </w:pPr>
      <w:r>
        <w:rPr>
          <w:rFonts w:ascii="仿宋_GB2312" w:hAnsi="仿宋_GB2312" w:eastAsia="仿宋_GB2312" w:cs="仿宋_GB2312"/>
          <w:kern w:val="0"/>
          <w:sz w:val="25"/>
          <w:szCs w:val="25"/>
          <w:lang w:val="en-US" w:eastAsia="zh-CN" w:bidi="ar"/>
        </w:rPr>
        <w:t>各功能区民政部门、各社会团体：</w:t>
      </w:r>
    </w:p>
    <w:p>
      <w:pPr>
        <w:keepNext w:val="0"/>
        <w:keepLines w:val="0"/>
        <w:widowControl/>
        <w:suppressLineNumbers w:val="0"/>
        <w:spacing w:before="60" w:beforeAutospacing="0" w:after="60" w:afterAutospacing="0"/>
        <w:ind w:left="0" w:right="0" w:firstLine="516"/>
        <w:jc w:val="left"/>
      </w:pPr>
      <w:r>
        <w:rPr>
          <w:rFonts w:hint="eastAsia" w:ascii="仿宋_GB2312" w:hAnsi="仿宋_GB2312" w:eastAsia="仿宋_GB2312" w:cs="仿宋_GB2312"/>
          <w:color w:val="000000"/>
          <w:kern w:val="0"/>
          <w:sz w:val="25"/>
          <w:szCs w:val="25"/>
          <w:lang w:val="en-US" w:eastAsia="zh-CN" w:bidi="ar"/>
        </w:rPr>
        <w:t>现将《天津市滨海新区社会团体信息公开办法》印发给你们，请严格遵照执行。</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color w:val="000000"/>
          <w:kern w:val="0"/>
          <w:sz w:val="25"/>
          <w:szCs w:val="25"/>
          <w:lang w:val="en-US" w:eastAsia="zh-CN" w:bidi="ar"/>
        </w:rPr>
        <w:t> </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color w:val="000000"/>
          <w:kern w:val="0"/>
          <w:sz w:val="25"/>
          <w:szCs w:val="25"/>
          <w:lang w:val="en-US" w:eastAsia="zh-CN" w:bidi="ar"/>
        </w:rPr>
        <w:t> </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color w:val="000000"/>
          <w:kern w:val="0"/>
          <w:sz w:val="25"/>
          <w:szCs w:val="25"/>
          <w:lang w:val="en-US" w:eastAsia="zh-CN" w:bidi="ar"/>
        </w:rPr>
        <w:t> </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color w:val="000000"/>
          <w:kern w:val="0"/>
          <w:sz w:val="25"/>
          <w:szCs w:val="25"/>
          <w:lang w:val="en-US" w:eastAsia="zh-CN" w:bidi="ar"/>
        </w:rPr>
        <w:t> </w:t>
      </w:r>
    </w:p>
    <w:p>
      <w:pPr>
        <w:keepNext w:val="0"/>
        <w:keepLines w:val="0"/>
        <w:widowControl/>
        <w:suppressLineNumbers w:val="0"/>
        <w:spacing w:before="60" w:beforeAutospacing="0" w:after="60" w:afterAutospacing="0"/>
        <w:ind w:left="0" w:right="384"/>
        <w:jc w:val="right"/>
      </w:pPr>
      <w:r>
        <w:rPr>
          <w:rFonts w:hint="eastAsia" w:ascii="仿宋_GB2312" w:hAnsi="仿宋_GB2312" w:eastAsia="仿宋_GB2312" w:cs="仿宋_GB2312"/>
          <w:color w:val="000000"/>
          <w:kern w:val="0"/>
          <w:sz w:val="25"/>
          <w:szCs w:val="25"/>
          <w:lang w:val="en-US" w:eastAsia="zh-CN" w:bidi="ar"/>
        </w:rPr>
        <w:t>2017年9月20日</w:t>
      </w:r>
    </w:p>
    <w:p>
      <w:pPr>
        <w:keepNext w:val="0"/>
        <w:keepLines w:val="0"/>
        <w:widowControl/>
        <w:suppressLineNumbers w:val="0"/>
        <w:spacing w:before="60" w:beforeAutospacing="0" w:after="60" w:afterAutospacing="0"/>
        <w:ind w:left="0" w:right="0"/>
        <w:jc w:val="right"/>
      </w:pPr>
      <w:r>
        <w:rPr>
          <w:rFonts w:hint="eastAsia" w:ascii="仿宋_GB2312" w:hAnsi="仿宋_GB2312" w:eastAsia="仿宋_GB2312" w:cs="仿宋_GB2312"/>
          <w:color w:val="000000"/>
          <w:kern w:val="0"/>
          <w:sz w:val="25"/>
          <w:szCs w:val="25"/>
          <w:lang w:val="en-US" w:eastAsia="zh-CN" w:bidi="ar"/>
        </w:rPr>
        <w:t>（此件主动公开）</w:t>
      </w:r>
    </w:p>
    <w:p>
      <w:pPr>
        <w:keepNext w:val="0"/>
        <w:keepLines w:val="0"/>
        <w:widowControl/>
        <w:suppressLineNumbers w:val="0"/>
        <w:spacing w:before="60" w:beforeAutospacing="0" w:after="60" w:afterAutospacing="0"/>
        <w:ind w:left="0" w:right="0"/>
        <w:jc w:val="center"/>
      </w:pPr>
      <w:r>
        <w:rPr>
          <w:rFonts w:hint="eastAsia" w:ascii="仿宋_GB2312" w:hAnsi="仿宋_GB2312" w:eastAsia="仿宋_GB2312" w:cs="仿宋_GB2312"/>
          <w:color w:val="000000"/>
          <w:kern w:val="0"/>
          <w:sz w:val="34"/>
          <w:szCs w:val="34"/>
          <w:lang w:val="en-US" w:eastAsia="zh-CN" w:bidi="ar"/>
        </w:rPr>
        <w:t> </w:t>
      </w:r>
    </w:p>
    <w:p>
      <w:pPr>
        <w:keepNext w:val="0"/>
        <w:keepLines w:val="0"/>
        <w:widowControl/>
        <w:suppressLineNumbers w:val="0"/>
        <w:spacing w:before="60" w:beforeAutospacing="0" w:after="60" w:afterAutospacing="0"/>
        <w:ind w:left="0" w:right="0"/>
        <w:jc w:val="center"/>
      </w:pPr>
      <w:r>
        <w:rPr>
          <w:rFonts w:ascii="仿宋" w:hAnsi="仿宋" w:eastAsia="仿宋" w:cs="仿宋"/>
          <w:color w:val="000000"/>
          <w:kern w:val="0"/>
          <w:sz w:val="34"/>
          <w:szCs w:val="34"/>
          <w:lang w:val="en-US" w:eastAsia="zh-CN" w:bidi="ar"/>
        </w:rPr>
        <w:t> </w:t>
      </w:r>
    </w:p>
    <w:p>
      <w:pPr>
        <w:keepNext w:val="0"/>
        <w:keepLines w:val="0"/>
        <w:widowControl/>
        <w:suppressLineNumbers w:val="0"/>
        <w:spacing w:before="60" w:beforeAutospacing="0" w:after="60" w:afterAutospacing="0"/>
        <w:ind w:left="0" w:right="0"/>
        <w:jc w:val="left"/>
        <w:rPr>
          <w:rFonts w:ascii="黑体" w:hAnsi="宋体" w:eastAsia="黑体" w:cs="黑体"/>
          <w:color w:val="000000"/>
          <w:kern w:val="0"/>
          <w:sz w:val="34"/>
          <w:szCs w:val="34"/>
          <w:lang w:val="en-US" w:eastAsia="zh-CN" w:bidi="ar"/>
        </w:rPr>
      </w:pPr>
      <w:r>
        <w:rPr>
          <w:rFonts w:ascii="黑体" w:hAnsi="宋体" w:eastAsia="黑体" w:cs="黑体"/>
          <w:color w:val="000000"/>
          <w:kern w:val="0"/>
          <w:sz w:val="34"/>
          <w:szCs w:val="34"/>
          <w:lang w:val="en-US" w:eastAsia="zh-CN" w:bidi="ar"/>
        </w:rPr>
        <w:t> </w:t>
      </w:r>
    </w:p>
    <w:p>
      <w:pPr>
        <w:keepNext w:val="0"/>
        <w:keepLines w:val="0"/>
        <w:widowControl/>
        <w:suppressLineNumbers w:val="0"/>
        <w:spacing w:before="60" w:beforeAutospacing="0" w:after="60" w:afterAutospacing="0"/>
        <w:ind w:left="0" w:right="0"/>
        <w:jc w:val="left"/>
        <w:rPr>
          <w:rFonts w:ascii="黑体" w:hAnsi="宋体" w:eastAsia="黑体" w:cs="黑体"/>
          <w:color w:val="000000"/>
          <w:kern w:val="0"/>
          <w:sz w:val="34"/>
          <w:szCs w:val="34"/>
          <w:lang w:val="en-US" w:eastAsia="zh-CN" w:bidi="ar"/>
        </w:rPr>
      </w:pPr>
    </w:p>
    <w:p>
      <w:pPr>
        <w:keepNext w:val="0"/>
        <w:keepLines w:val="0"/>
        <w:widowControl/>
        <w:suppressLineNumbers w:val="0"/>
        <w:spacing w:before="60" w:beforeAutospacing="0" w:after="60" w:afterAutospacing="0"/>
        <w:ind w:left="0" w:right="0"/>
        <w:jc w:val="left"/>
        <w:rPr>
          <w:rFonts w:ascii="黑体" w:hAnsi="宋体" w:eastAsia="黑体" w:cs="黑体"/>
          <w:color w:val="000000"/>
          <w:kern w:val="0"/>
          <w:sz w:val="34"/>
          <w:szCs w:val="34"/>
          <w:lang w:val="en-US" w:eastAsia="zh-CN" w:bidi="ar"/>
        </w:rPr>
      </w:pPr>
    </w:p>
    <w:p>
      <w:pPr>
        <w:keepNext w:val="0"/>
        <w:keepLines w:val="0"/>
        <w:widowControl/>
        <w:suppressLineNumbers w:val="0"/>
        <w:spacing w:before="60" w:beforeAutospacing="0" w:after="60" w:afterAutospacing="0"/>
        <w:ind w:left="0" w:right="0"/>
        <w:jc w:val="left"/>
        <w:rPr>
          <w:rFonts w:ascii="黑体" w:hAnsi="宋体" w:eastAsia="黑体" w:cs="黑体"/>
          <w:color w:val="000000"/>
          <w:kern w:val="0"/>
          <w:sz w:val="34"/>
          <w:szCs w:val="34"/>
          <w:lang w:val="en-US" w:eastAsia="zh-CN" w:bidi="ar"/>
        </w:rPr>
      </w:pPr>
    </w:p>
    <w:p>
      <w:pPr>
        <w:keepNext w:val="0"/>
        <w:keepLines w:val="0"/>
        <w:widowControl/>
        <w:suppressLineNumbers w:val="0"/>
        <w:spacing w:before="60" w:beforeAutospacing="0" w:after="60" w:afterAutospacing="0"/>
        <w:ind w:left="0" w:right="0"/>
        <w:jc w:val="left"/>
        <w:rPr>
          <w:rFonts w:ascii="黑体" w:hAnsi="宋体" w:eastAsia="黑体" w:cs="黑体"/>
          <w:color w:val="000000"/>
          <w:kern w:val="0"/>
          <w:sz w:val="34"/>
          <w:szCs w:val="34"/>
          <w:lang w:val="en-US" w:eastAsia="zh-CN" w:bidi="ar"/>
        </w:rPr>
      </w:pPr>
    </w:p>
    <w:p>
      <w:pPr>
        <w:keepNext w:val="0"/>
        <w:keepLines w:val="0"/>
        <w:widowControl/>
        <w:suppressLineNumbers w:val="0"/>
        <w:spacing w:before="60" w:beforeAutospacing="0" w:after="60" w:afterAutospacing="0"/>
        <w:ind w:left="0" w:right="0"/>
        <w:jc w:val="left"/>
        <w:rPr>
          <w:rFonts w:ascii="黑体" w:hAnsi="宋体" w:eastAsia="黑体" w:cs="黑体"/>
          <w:color w:val="000000"/>
          <w:kern w:val="0"/>
          <w:sz w:val="34"/>
          <w:szCs w:val="34"/>
          <w:lang w:val="en-US" w:eastAsia="zh-CN" w:bidi="ar"/>
        </w:rPr>
      </w:pPr>
    </w:p>
    <w:p>
      <w:pPr>
        <w:keepNext w:val="0"/>
        <w:keepLines w:val="0"/>
        <w:widowControl/>
        <w:suppressLineNumbers w:val="0"/>
        <w:spacing w:before="60" w:beforeAutospacing="0" w:after="60" w:afterAutospacing="0"/>
        <w:ind w:left="0" w:right="0"/>
        <w:jc w:val="left"/>
        <w:rPr>
          <w:rFonts w:ascii="黑体" w:hAnsi="宋体" w:eastAsia="黑体" w:cs="黑体"/>
          <w:color w:val="000000"/>
          <w:kern w:val="0"/>
          <w:sz w:val="34"/>
          <w:szCs w:val="34"/>
          <w:lang w:val="en-US" w:eastAsia="zh-CN" w:bidi="ar"/>
        </w:rPr>
      </w:pPr>
      <w:bookmarkStart w:id="0" w:name="_GoBack"/>
      <w:bookmarkEnd w:id="0"/>
    </w:p>
    <w:p>
      <w:pPr>
        <w:keepNext w:val="0"/>
        <w:keepLines w:val="0"/>
        <w:widowControl/>
        <w:suppressLineNumbers w:val="0"/>
        <w:shd w:val="clear" w:fill="FFFFFF"/>
        <w:spacing w:before="60" w:beforeAutospacing="0" w:after="60" w:afterAutospacing="0" w:line="348" w:lineRule="atLeast"/>
        <w:ind w:left="0" w:right="0" w:firstLine="384"/>
        <w:jc w:val="center"/>
      </w:pPr>
      <w:r>
        <w:rPr>
          <w:rFonts w:ascii="方正小标宋简体" w:hAnsi="方正小标宋简体" w:eastAsia="方正小标宋简体" w:cs="方正小标宋简体"/>
          <w:color w:val="000000"/>
          <w:kern w:val="0"/>
          <w:sz w:val="34"/>
          <w:szCs w:val="34"/>
          <w:shd w:val="clear" w:fill="FFFFFF"/>
          <w:lang w:val="en-US" w:eastAsia="zh-CN" w:bidi="ar"/>
        </w:rPr>
        <w:t>天津市滨海新区社会团体信息公开办法</w:t>
      </w:r>
    </w:p>
    <w:p>
      <w:pPr>
        <w:keepNext w:val="0"/>
        <w:keepLines w:val="0"/>
        <w:widowControl/>
        <w:suppressLineNumbers w:val="0"/>
        <w:shd w:val="clear" w:fill="FFFFFF"/>
        <w:spacing w:before="60" w:beforeAutospacing="0" w:after="60" w:afterAutospacing="0" w:line="348" w:lineRule="atLeast"/>
        <w:ind w:left="0" w:right="0" w:firstLine="384"/>
        <w:jc w:val="center"/>
      </w:pPr>
      <w:r>
        <w:rPr>
          <w:rFonts w:hint="eastAsia" w:ascii="黑体" w:hAnsi="宋体" w:eastAsia="黑体" w:cs="黑体"/>
          <w:color w:val="000000"/>
          <w:kern w:val="0"/>
          <w:sz w:val="28"/>
          <w:szCs w:val="28"/>
          <w:shd w:val="clear" w:fill="FFFFFF"/>
          <w:lang w:val="en-US" w:eastAsia="zh-CN" w:bidi="ar"/>
        </w:rPr>
        <w:t> </w:t>
      </w:r>
    </w:p>
    <w:p>
      <w:pPr>
        <w:keepNext w:val="0"/>
        <w:keepLines w:val="0"/>
        <w:widowControl/>
        <w:suppressLineNumbers w:val="0"/>
        <w:shd w:val="clear" w:fill="FFFFFF"/>
        <w:spacing w:before="60" w:beforeAutospacing="0" w:after="60" w:afterAutospacing="0" w:line="348" w:lineRule="atLeast"/>
        <w:ind w:left="0" w:right="0" w:firstLine="384"/>
        <w:jc w:val="center"/>
      </w:pPr>
      <w:r>
        <w:rPr>
          <w:rFonts w:hint="eastAsia" w:ascii="黑体" w:hAnsi="宋体" w:eastAsia="黑体" w:cs="黑体"/>
          <w:color w:val="000000"/>
          <w:kern w:val="0"/>
          <w:sz w:val="25"/>
          <w:szCs w:val="25"/>
          <w:shd w:val="clear" w:fill="FFFFFF"/>
          <w:lang w:val="en-US" w:eastAsia="zh-CN" w:bidi="ar"/>
        </w:rPr>
        <w:t>第一章</w:t>
      </w:r>
      <w:r>
        <w:rPr>
          <w:rFonts w:hint="eastAsia" w:ascii="宋体" w:hAnsi="宋体" w:eastAsia="宋体" w:cs="宋体"/>
          <w:color w:val="000000"/>
          <w:kern w:val="0"/>
          <w:sz w:val="25"/>
          <w:szCs w:val="25"/>
          <w:shd w:val="clear" w:fill="FFFFFF"/>
          <w:lang w:val="en-US" w:eastAsia="zh-CN" w:bidi="ar"/>
        </w:rPr>
        <w:t>  </w:t>
      </w:r>
      <w:r>
        <w:rPr>
          <w:rFonts w:hint="eastAsia" w:ascii="黑体" w:hAnsi="宋体" w:eastAsia="黑体" w:cs="黑体"/>
          <w:color w:val="000000"/>
          <w:kern w:val="0"/>
          <w:sz w:val="25"/>
          <w:szCs w:val="25"/>
          <w:shd w:val="clear" w:fill="FFFFFF"/>
          <w:lang w:val="en-US" w:eastAsia="zh-CN" w:bidi="ar"/>
        </w:rPr>
        <w:t>总 则</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第一条 为规范滨海新区社会团体信息公开工作，推进社会团体诚信自律，发挥社会监督效力，促进社会团体健康发展，根据《社会团体登记管理条例》（国务院令第250号）和《天津市社会团体信息公开办法》（津社字（2015） 12号）的有关规定，结合本区实际，制定本办法。</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第二条 本办法所称信息公开，是指在区、功能区民政、行政审批机关依法登记的社会团体，将其相关信息通过一定方式向社会和会员公开的行为。</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第三条 社会团体应当建立信息公开制度，公开的信息应当真实、准确、完整、及时，不得有虚假记载或重大遗漏。</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第四条 社会团体公开信息，不得危及国家安全、公共安全、经济安全和社会稳定。社会团体公开信息的范围应当覆盖该社会团体的全部活动地域。</w:t>
      </w:r>
    </w:p>
    <w:p>
      <w:pPr>
        <w:keepNext w:val="0"/>
        <w:keepLines w:val="0"/>
        <w:widowControl/>
        <w:suppressLineNumbers w:val="0"/>
        <w:shd w:val="clear" w:fill="FFFFFF"/>
        <w:spacing w:before="60" w:beforeAutospacing="0" w:after="60" w:afterAutospacing="0" w:line="348" w:lineRule="atLeast"/>
        <w:ind w:left="0" w:right="0" w:firstLine="384"/>
        <w:jc w:val="center"/>
      </w:pPr>
      <w:r>
        <w:rPr>
          <w:rFonts w:hint="eastAsia" w:ascii="黑体" w:hAnsi="宋体" w:eastAsia="黑体" w:cs="黑体"/>
          <w:color w:val="000000"/>
          <w:kern w:val="0"/>
          <w:sz w:val="25"/>
          <w:szCs w:val="25"/>
          <w:shd w:val="clear" w:fill="FFFFFF"/>
          <w:lang w:val="en-US" w:eastAsia="zh-CN" w:bidi="ar"/>
        </w:rPr>
        <w:t>　　第二章</w:t>
      </w:r>
      <w:r>
        <w:rPr>
          <w:rFonts w:hint="eastAsia" w:ascii="宋体" w:hAnsi="宋体" w:eastAsia="宋体" w:cs="宋体"/>
          <w:color w:val="000000"/>
          <w:kern w:val="0"/>
          <w:sz w:val="25"/>
          <w:szCs w:val="25"/>
          <w:shd w:val="clear" w:fill="FFFFFF"/>
          <w:lang w:val="en-US" w:eastAsia="zh-CN" w:bidi="ar"/>
        </w:rPr>
        <w:t>  </w:t>
      </w:r>
      <w:r>
        <w:rPr>
          <w:rFonts w:hint="eastAsia" w:ascii="黑体" w:hAnsi="宋体" w:eastAsia="黑体" w:cs="黑体"/>
          <w:color w:val="000000"/>
          <w:kern w:val="0"/>
          <w:sz w:val="25"/>
          <w:szCs w:val="25"/>
          <w:shd w:val="clear" w:fill="FFFFFF"/>
          <w:lang w:val="en-US" w:eastAsia="zh-CN" w:bidi="ar"/>
        </w:rPr>
        <w:t>公开内容</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第五条 社会团体应当向社会公开以下信息：</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（一）经民政、行政审批机关核准的章程；</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（二）登记事项（包括名称、业务主管单位、住所、业务范围、活动地域、法定代表人、活动资金等）;</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（三）组织机构（包括分支机构、代表机构、办事机构）；</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（四）秘书长以上负责人、分支（代表）机构负责人、理事成员、监事成员名单；担任社会团体名誉职务的成员名单；</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（五）社会团体上一年度工作总结；</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（六）税务登记证；</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（七）承接政府转移职能、授权、委托和购买服务事项；</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（八）收费许可证，收费服务项目、方式、依据和标准；</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（九）依法举办的经济实体的基本信息；</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（十）按照国家有关规定开展的评比达标表彰活动情况；</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（十一）接受公益性捐赠、资助及其使用情况；获得公益性捐赠税前扣除资格的社会团体，还应当向社会公开公益活动情况以及公益活动支出明细的审计报告；</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（十二）法律、法规和规章规定应予公开的其他事项。</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法律、法规、规章对社会团体开展相关活动或从事相关业务的信息公开行为有特别规定的，从其规定。</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第六条 社会团体应当向会员公开以下信息：</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（一）会员名册;</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（二）理事会年度工作报告、财务工作报告;</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（三）会费标准及会费收支情况;</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（四）内部管理制度;</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（五）会员（代表）大会决议、理事会（监事会）纪要；</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（六）法定代表人离任审计报告；</w:t>
      </w:r>
    </w:p>
    <w:p>
      <w:pPr>
        <w:keepNext w:val="0"/>
        <w:keepLines w:val="0"/>
        <w:widowControl/>
        <w:suppressLineNumbers w:val="0"/>
        <w:shd w:val="clear" w:fill="FFFFFF"/>
        <w:spacing w:before="60" w:beforeAutospacing="0" w:after="60" w:afterAutospacing="0" w:line="348" w:lineRule="atLeast"/>
        <w:ind w:left="0" w:right="0" w:firstLine="636"/>
        <w:jc w:val="left"/>
      </w:pPr>
      <w:r>
        <w:rPr>
          <w:rFonts w:hint="eastAsia" w:ascii="仿宋_GB2312" w:hAnsi="仿宋_GB2312" w:eastAsia="仿宋_GB2312" w:cs="仿宋_GB2312"/>
          <w:color w:val="000000"/>
          <w:kern w:val="0"/>
          <w:sz w:val="25"/>
          <w:szCs w:val="25"/>
          <w:shd w:val="clear" w:fill="FFFFFF"/>
          <w:lang w:val="en-US" w:eastAsia="zh-CN" w:bidi="ar"/>
        </w:rPr>
        <w:t>（七）重大活动情况；</w:t>
      </w:r>
    </w:p>
    <w:p>
      <w:pPr>
        <w:keepNext w:val="0"/>
        <w:keepLines w:val="0"/>
        <w:widowControl/>
        <w:suppressLineNumbers w:val="0"/>
        <w:shd w:val="clear" w:fill="FFFFFF"/>
        <w:spacing w:before="60" w:beforeAutospacing="0" w:after="60" w:afterAutospacing="0" w:line="348" w:lineRule="atLeast"/>
        <w:ind w:left="636" w:right="0" w:hanging="252"/>
        <w:jc w:val="left"/>
      </w:pPr>
      <w:r>
        <w:rPr>
          <w:rFonts w:hint="eastAsia" w:ascii="仿宋_GB2312" w:hAnsi="仿宋_GB2312" w:eastAsia="仿宋_GB2312" w:cs="仿宋_GB2312"/>
          <w:color w:val="000000"/>
          <w:kern w:val="0"/>
          <w:sz w:val="25"/>
          <w:szCs w:val="25"/>
          <w:shd w:val="clear" w:fill="FFFFFF"/>
          <w:lang w:val="en-US" w:eastAsia="zh-CN" w:bidi="ar"/>
        </w:rPr>
        <w:t>　（八）经理事会研究，认为有必要向会员公开的信息。第七条下列信息不予公开：</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（一）涉及国家秘密的；</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（二）涉及商业秘密、行业秘密、个人隐私的，权利人同意公开的除外；</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（三）经捐赠协议约定，捐赠人、受益人不愿公开的；</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（四）法律、行政法规规定不予公开的其他信息。</w:t>
      </w:r>
    </w:p>
    <w:p>
      <w:pPr>
        <w:keepNext w:val="0"/>
        <w:keepLines w:val="0"/>
        <w:widowControl/>
        <w:suppressLineNumbers w:val="0"/>
        <w:shd w:val="clear" w:fill="FFFFFF"/>
        <w:spacing w:before="60" w:beforeAutospacing="0" w:after="60" w:afterAutospacing="0" w:line="348" w:lineRule="atLeast"/>
        <w:ind w:left="0" w:right="0" w:firstLine="384"/>
        <w:jc w:val="center"/>
      </w:pPr>
      <w:r>
        <w:rPr>
          <w:rFonts w:hint="eastAsia" w:ascii="黑体" w:hAnsi="宋体" w:eastAsia="黑体" w:cs="黑体"/>
          <w:color w:val="000000"/>
          <w:kern w:val="0"/>
          <w:sz w:val="25"/>
          <w:szCs w:val="25"/>
          <w:shd w:val="clear" w:fill="FFFFFF"/>
          <w:lang w:val="en-US" w:eastAsia="zh-CN" w:bidi="ar"/>
        </w:rPr>
        <w:t>　　第三章</w:t>
      </w:r>
      <w:r>
        <w:rPr>
          <w:rFonts w:hint="eastAsia" w:ascii="宋体" w:hAnsi="宋体" w:eastAsia="宋体" w:cs="宋体"/>
          <w:color w:val="000000"/>
          <w:kern w:val="0"/>
          <w:sz w:val="25"/>
          <w:szCs w:val="25"/>
          <w:shd w:val="clear" w:fill="FFFFFF"/>
          <w:lang w:val="en-US" w:eastAsia="zh-CN" w:bidi="ar"/>
        </w:rPr>
        <w:t>  </w:t>
      </w:r>
      <w:r>
        <w:rPr>
          <w:rFonts w:hint="eastAsia" w:ascii="黑体" w:hAnsi="宋体" w:eastAsia="黑体" w:cs="黑体"/>
          <w:color w:val="000000"/>
          <w:kern w:val="0"/>
          <w:sz w:val="25"/>
          <w:szCs w:val="25"/>
          <w:shd w:val="clear" w:fill="FFFFFF"/>
          <w:lang w:val="en-US" w:eastAsia="zh-CN" w:bidi="ar"/>
        </w:rPr>
        <w:t>公开方式</w:t>
      </w:r>
    </w:p>
    <w:p>
      <w:pPr>
        <w:keepNext w:val="0"/>
        <w:keepLines w:val="0"/>
        <w:widowControl/>
        <w:suppressLineNumbers w:val="0"/>
        <w:spacing w:before="60" w:beforeAutospacing="0" w:after="60" w:afterAutospacing="0"/>
        <w:ind w:left="0" w:right="0" w:firstLine="516"/>
        <w:jc w:val="left"/>
      </w:pPr>
      <w:r>
        <w:rPr>
          <w:rFonts w:hint="eastAsia" w:ascii="仿宋_GB2312" w:hAnsi="仿宋_GB2312" w:eastAsia="仿宋_GB2312" w:cs="仿宋_GB2312"/>
          <w:color w:val="000000"/>
          <w:kern w:val="0"/>
          <w:sz w:val="25"/>
          <w:szCs w:val="25"/>
          <w:lang w:val="en-US" w:eastAsia="zh-CN" w:bidi="ar"/>
        </w:rPr>
        <w:t>第八条 社会团体的统一代码（法人登记）证书正本要在住所的醒目位置，以上墙悬挂的方式，向社会公众公开， 并公示收费项目、收费标准、服务内容及投诉电话等信息，实行动态管理。</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第九条 社会团体向社会公开的信息，应当通过统一的公共信息平台公开。社会团体可以选择在社会组织管理网站、本单位网站、业务主管单位（业务指导单位）网站、报刊、电视、广播等便于公众知晓的方式公开，公开的信息内容中应当包括收费项目、收费内容、收费依据、履行程序和审批部门，并注明联系、咨询方式。</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社会团体向会员公开的信息，应当通过会员（代表）大会、内部刊物等便于会员知晓的方式公开。</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第十条 信息一经公开，不得任意修改，确需变更的，应当说明理由并履行相关程序。</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第十一条 社会团体向社会公开的信息，应当在信息形成或者变更之日起30日内向社会公开。</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第十二条 社会团体对于公共媒体上出现的对社会团体造成或者可能造成不利影响的报道，要及时公开说明，有条件的应当建立新闻发言人制度。</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第十三条 社会团体应加强自身网站建设，搭建信息平台，创新信息公开方式。</w:t>
      </w:r>
    </w:p>
    <w:p>
      <w:pPr>
        <w:keepNext w:val="0"/>
        <w:keepLines w:val="0"/>
        <w:widowControl/>
        <w:suppressLineNumbers w:val="0"/>
        <w:shd w:val="clear" w:fill="FFFFFF"/>
        <w:spacing w:before="60" w:beforeAutospacing="0" w:after="60" w:afterAutospacing="0" w:line="348" w:lineRule="atLeast"/>
        <w:ind w:left="0" w:right="0" w:firstLine="384"/>
        <w:jc w:val="center"/>
      </w:pPr>
      <w:r>
        <w:rPr>
          <w:rFonts w:hint="eastAsia" w:ascii="黑体" w:hAnsi="宋体" w:eastAsia="黑体" w:cs="黑体"/>
          <w:color w:val="000000"/>
          <w:kern w:val="0"/>
          <w:sz w:val="25"/>
          <w:szCs w:val="25"/>
          <w:shd w:val="clear" w:fill="FFFFFF"/>
          <w:lang w:val="en-US" w:eastAsia="zh-CN" w:bidi="ar"/>
        </w:rPr>
        <w:t>　　第四章</w:t>
      </w:r>
      <w:r>
        <w:rPr>
          <w:rFonts w:hint="eastAsia" w:ascii="宋体" w:hAnsi="宋体" w:eastAsia="宋体" w:cs="宋体"/>
          <w:color w:val="000000"/>
          <w:kern w:val="0"/>
          <w:sz w:val="25"/>
          <w:szCs w:val="25"/>
          <w:shd w:val="clear" w:fill="FFFFFF"/>
          <w:lang w:val="en-US" w:eastAsia="zh-CN" w:bidi="ar"/>
        </w:rPr>
        <w:t>  </w:t>
      </w:r>
      <w:r>
        <w:rPr>
          <w:rFonts w:hint="eastAsia" w:ascii="黑体" w:hAnsi="宋体" w:eastAsia="黑体" w:cs="黑体"/>
          <w:color w:val="000000"/>
          <w:kern w:val="0"/>
          <w:sz w:val="25"/>
          <w:szCs w:val="25"/>
          <w:shd w:val="clear" w:fill="FFFFFF"/>
          <w:lang w:val="en-US" w:eastAsia="zh-CN" w:bidi="ar"/>
        </w:rPr>
        <w:t>监督管理</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第十四条 社会团体法定代表人为本单位信息公开的负责人。</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　第十五条 社会团体要建立健全信息公开的内部管理制度，并指定专人负责处理信息公开的有关事务。对于已经公开的信息，要建立信息公开档案、妥善保管。</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第十六条 民政管理部门应将信息公开情况纳入到社会团体年度检查、规范化建设评估、评选表彰工作中，并列为重要检查事项。相关政府职能部门在实施政府购买服务时，将社会团体开展信息公开的情况作为一项重要参考。</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第十七条 对社会团体不履行信息公开义务或者公布虚假信息的行为，公民、个人和其他组织有权向民政管理部门、业务主管单位（业务指导单位）及相关政府职能部门举报。</w:t>
      </w:r>
    </w:p>
    <w:p>
      <w:pPr>
        <w:keepNext w:val="0"/>
        <w:keepLines w:val="0"/>
        <w:widowControl/>
        <w:suppressLineNumbers w:val="0"/>
        <w:shd w:val="clear" w:fill="FFFFFF"/>
        <w:spacing w:before="60" w:beforeAutospacing="0" w:after="60" w:afterAutospacing="0" w:line="348" w:lineRule="atLeast"/>
        <w:ind w:left="0" w:right="0" w:firstLine="516"/>
        <w:jc w:val="left"/>
      </w:pPr>
      <w:r>
        <w:rPr>
          <w:rFonts w:hint="eastAsia" w:ascii="仿宋_GB2312" w:hAnsi="仿宋_GB2312" w:eastAsia="仿宋_GB2312" w:cs="仿宋_GB2312"/>
          <w:color w:val="000000"/>
          <w:kern w:val="0"/>
          <w:sz w:val="25"/>
          <w:szCs w:val="25"/>
          <w:shd w:val="clear" w:fill="FFFFFF"/>
          <w:lang w:val="en-US" w:eastAsia="zh-CN" w:bidi="ar"/>
        </w:rPr>
        <w:t>第十八条 社会团体违反本办法规定的，由相应民政管理部门会同相关部门依法予以处理，情节严重的，依法给予相应处罚，处罚情况及时报区滨海新区民政局。</w:t>
      </w:r>
    </w:p>
    <w:p>
      <w:pPr>
        <w:keepNext w:val="0"/>
        <w:keepLines w:val="0"/>
        <w:widowControl/>
        <w:suppressLineNumbers w:val="0"/>
        <w:shd w:val="clear" w:fill="FFFFFF"/>
        <w:spacing w:before="60" w:beforeAutospacing="0" w:after="60" w:afterAutospacing="0" w:line="348" w:lineRule="atLeast"/>
        <w:ind w:left="0" w:right="0" w:firstLine="384"/>
        <w:jc w:val="left"/>
      </w:pPr>
      <w:r>
        <w:rPr>
          <w:rFonts w:hint="eastAsia" w:ascii="仿宋_GB2312" w:hAnsi="仿宋_GB2312" w:eastAsia="仿宋_GB2312" w:cs="仿宋_GB2312"/>
          <w:color w:val="000000"/>
          <w:kern w:val="0"/>
          <w:sz w:val="25"/>
          <w:szCs w:val="25"/>
          <w:shd w:val="clear" w:fill="FFFFFF"/>
          <w:lang w:val="en-US" w:eastAsia="zh-CN" w:bidi="ar"/>
        </w:rPr>
        <w:t>第十九条 本办法自发布之日起试行。</w:t>
      </w:r>
    </w:p>
    <w:p>
      <w:pPr>
        <w:keepNext w:val="0"/>
        <w:keepLines w:val="0"/>
        <w:widowControl/>
        <w:suppressLineNumbers w:val="0"/>
        <w:spacing w:before="60" w:beforeAutospacing="0" w:after="60" w:afterAutospacing="0"/>
        <w:ind w:left="0" w:right="0"/>
        <w:jc w:val="left"/>
      </w:pPr>
      <w:r>
        <w:rPr>
          <w:rFonts w:hint="eastAsia" w:ascii="仿宋_GB2312" w:hAnsi="仿宋_GB2312" w:eastAsia="仿宋_GB2312" w:cs="仿宋_GB2312"/>
          <w:color w:val="000000"/>
          <w:kern w:val="0"/>
          <w:sz w:val="25"/>
          <w:szCs w:val="25"/>
          <w:lang w:val="en-US" w:eastAsia="zh-CN" w:bidi="ar"/>
        </w:rPr>
        <w:t> </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C2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2021-09-28T12:01:57Z</dcterms:created>
  <dc:creator>Administrator</dc:creator>
  <cp:lastModifiedBy>面面</cp:lastModifiedBy>
  <dcterms:modified xsi:type="dcterms:W3CDTF">2021-09-28T12:02:36Z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3DB80087437B499AA159D694CA52A31A</vt:lpwstr>
  </property>
</Properties>
</file>